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12" w:beforeLines="100" w:after="312" w:afterLines="100"/>
      </w:pPr>
      <w:bookmarkStart w:id="0" w:name="_Toc21156"/>
      <w:bookmarkStart w:id="1" w:name="_Toc20794"/>
      <w:bookmarkStart w:id="2" w:name="_Toc29944"/>
      <w:bookmarkStart w:id="3" w:name="_Toc30967"/>
      <w:r>
        <w:t>投资者接待和推广制度</w:t>
      </w:r>
      <w:bookmarkEnd w:id="0"/>
      <w:bookmarkEnd w:id="1"/>
      <w:bookmarkEnd w:id="2"/>
      <w:bookmarkEnd w:id="3"/>
    </w:p>
    <w:p>
      <w:pPr>
        <w:pStyle w:val="6"/>
        <w:keepNext/>
        <w:keepLines/>
        <w:pageBreakBefore w:val="0"/>
        <w:widowControl w:val="0"/>
        <w:numPr>
          <w:ilvl w:val="0"/>
          <w:numId w:val="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sz w:val="24"/>
          <w:szCs w:val="24"/>
        </w:rPr>
      </w:pPr>
      <w:bookmarkStart w:id="4" w:name="_Toc25289"/>
      <w:bookmarkStart w:id="5" w:name="_Toc9957"/>
      <w:bookmarkStart w:id="6" w:name="_Toc28177"/>
      <w:bookmarkStart w:id="7" w:name="_Toc556"/>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总则</w:t>
      </w:r>
      <w:bookmarkEnd w:id="4"/>
      <w:bookmarkEnd w:id="5"/>
      <w:bookmarkEnd w:id="6"/>
      <w:bookmarkEnd w:id="7"/>
    </w:p>
    <w:p>
      <w:pPr>
        <w:numPr>
          <w:ilvl w:val="0"/>
          <w:numId w:val="2"/>
        </w:numPr>
        <w:spacing w:line="360" w:lineRule="auto"/>
        <w:ind w:firstLine="420" w:firstLineChars="200"/>
        <w:rPr>
          <w:b/>
          <w:bCs/>
          <w:highlight w:val="none"/>
        </w:rPr>
      </w:pPr>
      <w:r>
        <w:rPr>
          <w:rFonts w:hint="eastAsia" w:ascii="宋体" w:hAnsi="宋体" w:eastAsia="宋体" w:cs="宋体"/>
          <w:sz w:val="21"/>
          <w:szCs w:val="21"/>
          <w:highlight w:val="none"/>
        </w:rPr>
        <w:t xml:space="preserve"> </w:t>
      </w:r>
      <w:r>
        <w:rPr>
          <w:b/>
          <w:bCs/>
          <w:highlight w:val="none"/>
        </w:rPr>
        <w:t>为</w:t>
      </w:r>
      <w:r>
        <w:rPr>
          <w:rFonts w:hint="eastAsia"/>
          <w:b/>
          <w:bCs/>
          <w:highlight w:val="none"/>
          <w:lang w:val="en-US" w:eastAsia="zh-CN"/>
        </w:rPr>
        <w:t>规范</w:t>
      </w:r>
      <w:r>
        <w:rPr>
          <w:rFonts w:hint="eastAsia"/>
          <w:b/>
          <w:bCs/>
          <w:highlight w:val="none"/>
        </w:rPr>
        <w:t>融捷</w:t>
      </w:r>
      <w:r>
        <w:rPr>
          <w:b/>
          <w:bCs/>
          <w:highlight w:val="none"/>
        </w:rPr>
        <w:t>股份有限公司（以下简称</w:t>
      </w:r>
      <w:r>
        <w:rPr>
          <w:rFonts w:hint="eastAsia"/>
          <w:b/>
          <w:bCs/>
          <w:highlight w:val="none"/>
          <w:lang w:eastAsia="zh-CN"/>
        </w:rPr>
        <w:t>“</w:t>
      </w:r>
      <w:r>
        <w:rPr>
          <w:b/>
          <w:bCs/>
          <w:highlight w:val="none"/>
        </w:rPr>
        <w:t>公司</w:t>
      </w:r>
      <w:r>
        <w:rPr>
          <w:rFonts w:hint="eastAsia"/>
          <w:b/>
          <w:bCs/>
          <w:highlight w:val="none"/>
          <w:lang w:eastAsia="zh-CN"/>
        </w:rPr>
        <w:t>”</w:t>
      </w:r>
      <w:r>
        <w:rPr>
          <w:b/>
          <w:bCs/>
          <w:highlight w:val="none"/>
        </w:rPr>
        <w:t>）</w:t>
      </w:r>
      <w:r>
        <w:rPr>
          <w:rFonts w:hint="eastAsia"/>
          <w:b/>
          <w:bCs/>
          <w:highlight w:val="none"/>
          <w:lang w:val="en-US" w:eastAsia="zh-CN"/>
        </w:rPr>
        <w:t>投资者接待和推广工作，加强公司与投资者之间的有效沟通，促进公司完善</w:t>
      </w:r>
      <w:r>
        <w:rPr>
          <w:b/>
          <w:bCs/>
          <w:highlight w:val="none"/>
        </w:rPr>
        <w:t>治理，</w:t>
      </w:r>
      <w:r>
        <w:rPr>
          <w:rFonts w:ascii="宋体" w:hAnsi="宋体" w:eastAsia="宋体" w:cs="宋体"/>
          <w:b/>
          <w:bCs/>
          <w:sz w:val="21"/>
          <w:szCs w:val="21"/>
        </w:rPr>
        <w:t>提</w:t>
      </w:r>
      <w:r>
        <w:rPr>
          <w:rFonts w:hint="eastAsia" w:ascii="宋体" w:hAnsi="宋体" w:cs="宋体"/>
          <w:b/>
          <w:bCs/>
          <w:sz w:val="21"/>
          <w:szCs w:val="21"/>
          <w:lang w:val="en-US" w:eastAsia="zh-CN"/>
        </w:rPr>
        <w:t>高公司质量</w:t>
      </w:r>
      <w:r>
        <w:rPr>
          <w:rFonts w:hint="eastAsia" w:ascii="宋体" w:hAnsi="宋体" w:cs="宋体"/>
          <w:b/>
          <w:bCs/>
          <w:sz w:val="21"/>
          <w:szCs w:val="21"/>
          <w:lang w:eastAsia="zh-CN"/>
        </w:rPr>
        <w:t>，</w:t>
      </w:r>
      <w:r>
        <w:rPr>
          <w:rFonts w:hint="eastAsia" w:ascii="宋体" w:hAnsi="宋体" w:cs="宋体"/>
          <w:b/>
          <w:bCs/>
          <w:sz w:val="21"/>
          <w:szCs w:val="21"/>
          <w:lang w:val="en-US" w:eastAsia="zh-CN"/>
        </w:rPr>
        <w:t>切实保护投资者特别是中小投资者合法权益，</w:t>
      </w:r>
      <w:r>
        <w:rPr>
          <w:b/>
          <w:bCs/>
          <w:highlight w:val="none"/>
        </w:rPr>
        <w:t>根据《中华人民共和国公司法》《中华人民共和国证券法》</w:t>
      </w:r>
      <w:r>
        <w:rPr>
          <w:rFonts w:hint="eastAsia"/>
          <w:b/>
          <w:bCs/>
          <w:highlight w:val="none"/>
        </w:rPr>
        <w:t>《上市公司投资者关系管理工作指引》</w:t>
      </w:r>
      <w:r>
        <w:rPr>
          <w:rFonts w:hint="eastAsia"/>
          <w:b/>
          <w:bCs/>
          <w:highlight w:val="none"/>
          <w:lang w:eastAsia="zh-CN"/>
        </w:rPr>
        <w:t>、</w:t>
      </w:r>
      <w:r>
        <w:rPr>
          <w:b/>
          <w:bCs/>
          <w:highlight w:val="none"/>
        </w:rPr>
        <w:t>深圳证券交易所</w:t>
      </w:r>
      <w:r>
        <w:rPr>
          <w:rFonts w:hint="eastAsia"/>
          <w:b/>
          <w:bCs/>
          <w:highlight w:val="none"/>
          <w:lang w:eastAsia="zh-CN"/>
        </w:rPr>
        <w:t>（</w:t>
      </w:r>
      <w:r>
        <w:rPr>
          <w:rFonts w:hint="eastAsia"/>
          <w:b/>
          <w:bCs/>
          <w:highlight w:val="none"/>
          <w:lang w:val="en-US" w:eastAsia="zh-CN"/>
        </w:rPr>
        <w:t>以下简称“深交所”</w:t>
      </w:r>
      <w:r>
        <w:rPr>
          <w:rFonts w:hint="eastAsia"/>
          <w:b/>
          <w:bCs/>
          <w:highlight w:val="none"/>
          <w:lang w:eastAsia="zh-CN"/>
        </w:rPr>
        <w:t>）</w:t>
      </w:r>
      <w:r>
        <w:rPr>
          <w:b/>
          <w:bCs/>
          <w:highlight w:val="none"/>
        </w:rPr>
        <w:t>《股票上市规则》</w:t>
      </w:r>
      <w:r>
        <w:rPr>
          <w:rFonts w:hint="eastAsia"/>
          <w:b/>
          <w:bCs/>
          <w:highlight w:val="none"/>
        </w:rPr>
        <w:t>《上市公司</w:t>
      </w:r>
      <w:r>
        <w:rPr>
          <w:rFonts w:hint="eastAsia"/>
          <w:b/>
          <w:bCs/>
          <w:highlight w:val="none"/>
          <w:lang w:val="en-US" w:eastAsia="zh-CN"/>
        </w:rPr>
        <w:t>自律监管</w:t>
      </w:r>
      <w:r>
        <w:rPr>
          <w:rFonts w:hint="eastAsia"/>
          <w:b/>
          <w:bCs/>
          <w:highlight w:val="none"/>
        </w:rPr>
        <w:t>指引》</w:t>
      </w:r>
      <w:r>
        <w:rPr>
          <w:b/>
          <w:bCs/>
          <w:highlight w:val="none"/>
        </w:rPr>
        <w:t>等有关法律、法规、规章以及公司章程的规定，结合公司的实际情况，制定本制度。</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第</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rPr>
        <w:t xml:space="preserve">条  </w:t>
      </w:r>
      <w:r>
        <w:rPr>
          <w:rFonts w:hint="eastAsia" w:ascii="宋体" w:hAnsi="宋体" w:eastAsia="宋体" w:cs="宋体"/>
          <w:sz w:val="21"/>
          <w:szCs w:val="21"/>
          <w:highlight w:val="none"/>
        </w:rPr>
        <w:t xml:space="preserve"> 本制度所述的</w:t>
      </w:r>
      <w:r>
        <w:rPr>
          <w:rFonts w:hint="eastAsia" w:ascii="宋体" w:hAnsi="宋体" w:cs="宋体"/>
          <w:sz w:val="21"/>
          <w:szCs w:val="21"/>
          <w:highlight w:val="none"/>
          <w:lang w:val="en-US" w:eastAsia="zh-CN"/>
        </w:rPr>
        <w:t>投资者</w:t>
      </w:r>
      <w:r>
        <w:rPr>
          <w:rFonts w:hint="eastAsia" w:ascii="宋体" w:hAnsi="宋体" w:eastAsia="宋体" w:cs="宋体"/>
          <w:sz w:val="21"/>
          <w:szCs w:val="21"/>
          <w:highlight w:val="none"/>
        </w:rPr>
        <w:t>接待和推广工作是指公司通过接受投资者调研、一对一沟通、现场参观、电话咨询、业绩说明会、分析师会议和路演、新闻采访等活动，加强公司与投资者之间沟通，增进投资者对公司了解的工作。</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公司进行接待和推广工作的对象包括但不限于：</w:t>
      </w:r>
    </w:p>
    <w:p>
      <w:pPr>
        <w:spacing w:line="360" w:lineRule="auto"/>
        <w:ind w:firstLine="422" w:firstLineChars="200"/>
        <w:rPr>
          <w:b/>
          <w:bCs/>
          <w:highlight w:val="none"/>
        </w:rPr>
      </w:pPr>
      <w:r>
        <w:rPr>
          <w:rFonts w:hint="eastAsia"/>
          <w:b/>
          <w:bCs/>
          <w:highlight w:val="none"/>
          <w:lang w:eastAsia="zh-CN"/>
        </w:rPr>
        <w:t>（</w:t>
      </w:r>
      <w:r>
        <w:rPr>
          <w:rFonts w:hint="eastAsia"/>
          <w:b/>
          <w:bCs/>
          <w:highlight w:val="none"/>
          <w:lang w:val="en-US" w:eastAsia="zh-CN"/>
        </w:rPr>
        <w:t>一</w:t>
      </w:r>
      <w:r>
        <w:rPr>
          <w:rFonts w:hint="eastAsia"/>
          <w:b/>
          <w:bCs/>
          <w:highlight w:val="none"/>
          <w:lang w:eastAsia="zh-CN"/>
        </w:rPr>
        <w:t>）</w:t>
      </w:r>
      <w:r>
        <w:rPr>
          <w:b/>
          <w:bCs/>
          <w:highlight w:val="none"/>
        </w:rPr>
        <w:t xml:space="preserve">投资者（包括在册投资者和潜在投资者）； </w:t>
      </w:r>
    </w:p>
    <w:p>
      <w:pPr>
        <w:spacing w:line="360" w:lineRule="auto"/>
        <w:ind w:firstLine="422" w:firstLineChars="200"/>
        <w:rPr>
          <w:b/>
          <w:bCs/>
          <w:highlight w:val="none"/>
        </w:rPr>
      </w:pPr>
      <w:r>
        <w:rPr>
          <w:rFonts w:hint="eastAsia"/>
          <w:b/>
          <w:bCs/>
          <w:highlight w:val="none"/>
          <w:lang w:eastAsia="zh-CN"/>
        </w:rPr>
        <w:t>（</w:t>
      </w:r>
      <w:r>
        <w:rPr>
          <w:rFonts w:hint="eastAsia"/>
          <w:b/>
          <w:bCs/>
          <w:highlight w:val="none"/>
          <w:lang w:val="en-US" w:eastAsia="zh-CN"/>
        </w:rPr>
        <w:t>二</w:t>
      </w:r>
      <w:r>
        <w:rPr>
          <w:rFonts w:hint="eastAsia"/>
          <w:b/>
          <w:bCs/>
          <w:highlight w:val="none"/>
          <w:lang w:eastAsia="zh-CN"/>
        </w:rPr>
        <w:t>）</w:t>
      </w:r>
      <w:r>
        <w:rPr>
          <w:b/>
          <w:bCs/>
          <w:highlight w:val="none"/>
        </w:rPr>
        <w:t xml:space="preserve">证券分析师和行业分析师； </w:t>
      </w:r>
    </w:p>
    <w:p>
      <w:pPr>
        <w:spacing w:line="360" w:lineRule="auto"/>
        <w:ind w:firstLine="422" w:firstLineChars="200"/>
        <w:rPr>
          <w:rFonts w:hint="eastAsia"/>
          <w:b/>
          <w:bCs/>
          <w:highlight w:val="none"/>
        </w:rPr>
      </w:pPr>
      <w:r>
        <w:rPr>
          <w:rFonts w:hint="eastAsia"/>
          <w:b/>
          <w:bCs/>
          <w:highlight w:val="none"/>
          <w:lang w:eastAsia="zh-CN"/>
        </w:rPr>
        <w:t>（</w:t>
      </w:r>
      <w:r>
        <w:rPr>
          <w:rFonts w:hint="eastAsia"/>
          <w:b/>
          <w:bCs/>
          <w:highlight w:val="none"/>
          <w:lang w:val="en-US" w:eastAsia="zh-CN"/>
        </w:rPr>
        <w:t>三</w:t>
      </w:r>
      <w:r>
        <w:rPr>
          <w:rFonts w:hint="eastAsia"/>
          <w:b/>
          <w:bCs/>
          <w:highlight w:val="none"/>
          <w:lang w:eastAsia="zh-CN"/>
        </w:rPr>
        <w:t>）</w:t>
      </w:r>
      <w:r>
        <w:rPr>
          <w:rFonts w:hint="eastAsia"/>
          <w:b/>
          <w:bCs/>
          <w:highlight w:val="none"/>
        </w:rPr>
        <w:t xml:space="preserve">财经媒体、行业媒体等传播媒介； </w:t>
      </w:r>
    </w:p>
    <w:p>
      <w:pPr>
        <w:numPr>
          <w:ilvl w:val="0"/>
          <w:numId w:val="0"/>
        </w:numPr>
        <w:spacing w:line="360" w:lineRule="auto"/>
        <w:ind w:firstLine="422" w:firstLineChars="200"/>
        <w:rPr>
          <w:rFonts w:hint="eastAsia"/>
          <w:b/>
          <w:bCs/>
          <w:highlight w:val="none"/>
        </w:rPr>
      </w:pPr>
      <w:r>
        <w:rPr>
          <w:rFonts w:hint="eastAsia"/>
          <w:b/>
          <w:bCs/>
          <w:highlight w:val="none"/>
          <w:lang w:eastAsia="zh-CN"/>
        </w:rPr>
        <w:t>（</w:t>
      </w:r>
      <w:r>
        <w:rPr>
          <w:rFonts w:hint="eastAsia"/>
          <w:b/>
          <w:bCs/>
          <w:highlight w:val="none"/>
          <w:lang w:val="en-US" w:eastAsia="zh-CN"/>
        </w:rPr>
        <w:t>四</w:t>
      </w:r>
      <w:r>
        <w:rPr>
          <w:rFonts w:hint="eastAsia"/>
          <w:b/>
          <w:bCs/>
          <w:highlight w:val="none"/>
          <w:lang w:eastAsia="zh-CN"/>
        </w:rPr>
        <w:t>）</w:t>
      </w:r>
      <w:r>
        <w:rPr>
          <w:rFonts w:hint="eastAsia"/>
          <w:b/>
          <w:bCs/>
          <w:highlight w:val="none"/>
          <w:lang w:val="en-US" w:eastAsia="zh-CN"/>
        </w:rPr>
        <w:t>其他与投资者关系管理相关的机构与个人</w:t>
      </w:r>
      <w:r>
        <w:rPr>
          <w:rFonts w:hint="eastAsia"/>
          <w:b/>
          <w:bCs/>
          <w:highlight w:val="none"/>
        </w:rPr>
        <w:t xml:space="preserve">。 </w:t>
      </w:r>
    </w:p>
    <w:p>
      <w:pPr>
        <w:keepNext w:val="0"/>
        <w:keepLines w:val="0"/>
        <w:widowControl/>
        <w:suppressLineNumbers w:val="0"/>
        <w:spacing w:line="360" w:lineRule="auto"/>
        <w:ind w:firstLine="422" w:firstLineChars="200"/>
        <w:jc w:val="left"/>
        <w:rPr>
          <w:rFonts w:hint="default"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第三条 公司在投资者接待和推广活动中应遵守投资者关系管理的基本原则：</w:t>
      </w:r>
    </w:p>
    <w:p>
      <w:pPr>
        <w:keepNext w:val="0"/>
        <w:keepLines w:val="0"/>
        <w:widowControl/>
        <w:suppressLineNumbers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（一）合规性原则。公司投资者关系管理应当在依法履行信息披露义务的基础上开展，符合法律、法规、规章及规范性文件、行业规范和自律规则、公司内部规章制度，以及行业普遍遵守的道德规范和行为准则。 </w:t>
      </w:r>
    </w:p>
    <w:p>
      <w:pPr>
        <w:keepNext w:val="0"/>
        <w:keepLines w:val="0"/>
        <w:widowControl/>
        <w:suppressLineNumbers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（二）平等性原则。公司开展投资者关系管理活动，应当平等对待所有投资者，尤其为中小投资者参与活动创造机会、提供便利。 </w:t>
      </w:r>
    </w:p>
    <w:p>
      <w:pPr>
        <w:keepNext w:val="0"/>
        <w:keepLines w:val="0"/>
        <w:widowControl/>
        <w:suppressLineNumbers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（三）主动性原则。公司应当主动开展投资者关系管理活动，听取投资者意见建议，及时回应投资者诉求。 </w:t>
      </w:r>
    </w:p>
    <w:p>
      <w:pPr>
        <w:numPr>
          <w:ilvl w:val="0"/>
          <w:numId w:val="0"/>
        </w:numPr>
        <w:spacing w:line="360" w:lineRule="auto"/>
        <w:ind w:firstLine="422" w:firstLineChars="200"/>
        <w:rPr>
          <w:rFonts w:hint="eastAsia" w:ascii="宋体" w:hAnsi="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（四）诚实守信原则。公司在投资者关系管理活动中应当注重诚信、坚守底线、规范运作、担当责任，营造健康良好的市场生态</w:t>
      </w:r>
      <w:r>
        <w:rPr>
          <w:rFonts w:hint="eastAsia" w:ascii="宋体" w:hAnsi="宋体" w:cs="宋体"/>
          <w:b/>
          <w:bCs/>
          <w:color w:val="000000"/>
          <w:kern w:val="0"/>
          <w:sz w:val="21"/>
          <w:szCs w:val="21"/>
          <w:lang w:val="en-US" w:eastAsia="zh-CN" w:bidi="ar"/>
        </w:rPr>
        <w:t>。</w:t>
      </w:r>
    </w:p>
    <w:p>
      <w:pPr>
        <w:spacing w:line="360" w:lineRule="auto"/>
        <w:ind w:firstLine="422" w:firstLineChars="200"/>
        <w:jc w:val="left"/>
        <w:rPr>
          <w:rFonts w:hint="default"/>
          <w:b/>
          <w:highlight w:val="none"/>
          <w:lang w:val="en-US" w:eastAsia="zh-CN"/>
        </w:rPr>
      </w:pPr>
      <w:r>
        <w:rPr>
          <w:rFonts w:hint="eastAsia"/>
          <w:b/>
          <w:highlight w:val="none"/>
          <w:lang w:val="en-US" w:eastAsia="zh-CN"/>
        </w:rPr>
        <w:t>第四条 公司开展投资者接待和推广活动的目的：</w:t>
      </w:r>
    </w:p>
    <w:p>
      <w:pPr>
        <w:spacing w:line="360" w:lineRule="auto"/>
        <w:ind w:firstLine="422" w:firstLineChars="200"/>
        <w:jc w:val="left"/>
        <w:rPr>
          <w:b/>
          <w:highlight w:val="none"/>
        </w:rPr>
      </w:pPr>
      <w:r>
        <w:rPr>
          <w:b/>
          <w:highlight w:val="none"/>
        </w:rPr>
        <w:t>（一）加强与投资者的沟通，促进投资者对公司的了解和认同；</w:t>
      </w:r>
    </w:p>
    <w:p>
      <w:pPr>
        <w:spacing w:line="360" w:lineRule="auto"/>
        <w:ind w:firstLine="422" w:firstLineChars="200"/>
        <w:jc w:val="left"/>
        <w:rPr>
          <w:rFonts w:hint="eastAsia"/>
          <w:b/>
          <w:highlight w:val="none"/>
          <w:lang w:val="en-US" w:eastAsia="zh-CN"/>
        </w:rPr>
      </w:pPr>
      <w:r>
        <w:rPr>
          <w:b/>
          <w:highlight w:val="none"/>
        </w:rPr>
        <w:t>（二）</w:t>
      </w:r>
      <w:r>
        <w:rPr>
          <w:rFonts w:hint="eastAsia"/>
          <w:b/>
          <w:highlight w:val="none"/>
          <w:lang w:val="en-US" w:eastAsia="zh-CN"/>
        </w:rPr>
        <w:t>建立稳定和优质的投资者基础，获得长期的投资者支持；</w:t>
      </w:r>
    </w:p>
    <w:p>
      <w:pPr>
        <w:spacing w:line="360" w:lineRule="auto"/>
        <w:ind w:firstLine="422" w:firstLineChars="200"/>
        <w:jc w:val="left"/>
        <w:rPr>
          <w:b/>
          <w:highlight w:val="none"/>
        </w:rPr>
      </w:pPr>
      <w:r>
        <w:rPr>
          <w:rFonts w:hint="eastAsia"/>
          <w:b/>
          <w:highlight w:val="none"/>
          <w:lang w:val="en-US" w:eastAsia="zh-CN"/>
        </w:rPr>
        <w:t>（三）</w:t>
      </w:r>
      <w:r>
        <w:rPr>
          <w:b/>
          <w:highlight w:val="none"/>
        </w:rPr>
        <w:t>形成</w:t>
      </w:r>
      <w:r>
        <w:rPr>
          <w:rFonts w:hint="eastAsia"/>
          <w:b/>
          <w:highlight w:val="none"/>
          <w:lang w:val="en-US" w:eastAsia="zh-CN"/>
        </w:rPr>
        <w:t>服务投资者、</w:t>
      </w:r>
      <w:r>
        <w:rPr>
          <w:b/>
          <w:highlight w:val="none"/>
        </w:rPr>
        <w:t>尊重投资者的企业文化；</w:t>
      </w:r>
    </w:p>
    <w:p>
      <w:pPr>
        <w:spacing w:line="360" w:lineRule="auto"/>
        <w:ind w:firstLine="422" w:firstLineChars="200"/>
        <w:jc w:val="left"/>
        <w:rPr>
          <w:rFonts w:hint="default" w:eastAsia="宋体"/>
          <w:b/>
          <w:highlight w:val="none"/>
          <w:lang w:val="en-US" w:eastAsia="zh-CN"/>
        </w:rPr>
      </w:pPr>
      <w:r>
        <w:rPr>
          <w:rFonts w:hint="default"/>
          <w:b/>
          <w:highlight w:val="none"/>
          <w:lang w:eastAsia="zh-CN"/>
        </w:rPr>
        <w:t>（</w:t>
      </w:r>
      <w:r>
        <w:rPr>
          <w:rFonts w:hint="default"/>
          <w:b/>
          <w:highlight w:val="none"/>
          <w:lang w:val="en-US" w:eastAsia="zh-CN"/>
        </w:rPr>
        <w:t>四</w:t>
      </w:r>
      <w:r>
        <w:rPr>
          <w:rFonts w:hint="default"/>
          <w:b/>
          <w:highlight w:val="none"/>
          <w:lang w:eastAsia="zh-CN"/>
        </w:rPr>
        <w:t>）</w:t>
      </w:r>
      <w:r>
        <w:rPr>
          <w:rFonts w:hint="default"/>
          <w:b/>
          <w:highlight w:val="none"/>
          <w:lang w:val="en-US" w:eastAsia="zh-CN"/>
        </w:rPr>
        <w:t>增加信息披露透明度，不断提高公司治理水平；</w:t>
      </w:r>
    </w:p>
    <w:p>
      <w:pPr>
        <w:numPr>
          <w:ilvl w:val="0"/>
          <w:numId w:val="0"/>
        </w:numPr>
        <w:spacing w:line="360" w:lineRule="auto"/>
        <w:ind w:firstLine="422" w:firstLineChars="200"/>
        <w:rPr>
          <w:rFonts w:hint="eastAsia" w:ascii="宋体" w:hAnsi="宋体" w:cs="宋体"/>
          <w:b/>
          <w:bCs/>
          <w:color w:val="000000"/>
          <w:kern w:val="0"/>
          <w:sz w:val="21"/>
          <w:szCs w:val="21"/>
          <w:lang w:val="en-US" w:eastAsia="zh-CN" w:bidi="ar"/>
        </w:rPr>
      </w:pPr>
      <w:r>
        <w:rPr>
          <w:b/>
          <w:highlight w:val="none"/>
        </w:rPr>
        <w:t>（</w:t>
      </w:r>
      <w:r>
        <w:rPr>
          <w:rFonts w:hint="default"/>
          <w:b/>
          <w:highlight w:val="none"/>
          <w:lang w:val="en-US" w:eastAsia="zh-CN"/>
        </w:rPr>
        <w:t>五</w:t>
      </w:r>
      <w:r>
        <w:rPr>
          <w:b/>
          <w:highlight w:val="none"/>
        </w:rPr>
        <w:t>） 实现公司价值最大化和股东利益最大化。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firstLineChars="20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第二章 接待和推广工作的组织及责任人</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第</w:t>
      </w: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rPr>
        <w:t xml:space="preserve">条 </w:t>
      </w:r>
      <w:r>
        <w:rPr>
          <w:rFonts w:hint="eastAsia" w:ascii="宋体" w:hAnsi="宋体" w:eastAsia="宋体" w:cs="宋体"/>
          <w:sz w:val="21"/>
          <w:szCs w:val="21"/>
          <w:highlight w:val="none"/>
        </w:rPr>
        <w:t xml:space="preserve"> 董事长为公司</w:t>
      </w:r>
      <w:r>
        <w:rPr>
          <w:rFonts w:hint="eastAsia" w:ascii="宋体" w:hAnsi="宋体" w:cs="宋体"/>
          <w:sz w:val="21"/>
          <w:szCs w:val="21"/>
          <w:highlight w:val="none"/>
          <w:lang w:val="en-US" w:eastAsia="zh-CN"/>
        </w:rPr>
        <w:t>投资者</w:t>
      </w:r>
      <w:r>
        <w:rPr>
          <w:rFonts w:hint="eastAsia" w:ascii="宋体" w:hAnsi="宋体" w:eastAsia="宋体" w:cs="宋体"/>
          <w:sz w:val="21"/>
          <w:szCs w:val="21"/>
          <w:highlight w:val="none"/>
        </w:rPr>
        <w:t>推广和接待工作第一责任人，董事会秘书全面负责公司推广和接待工作，公司证券事务代表协助董事会秘书组织开展推广和接待工作，公司</w:t>
      </w:r>
      <w:r>
        <w:rPr>
          <w:rFonts w:hint="eastAsia" w:ascii="宋体" w:hAnsi="宋体" w:cs="宋体"/>
          <w:sz w:val="21"/>
          <w:szCs w:val="21"/>
          <w:highlight w:val="none"/>
          <w:lang w:eastAsia="zh-CN"/>
        </w:rPr>
        <w:t>董事会办公室</w:t>
      </w:r>
      <w:r>
        <w:rPr>
          <w:rFonts w:hint="eastAsia" w:ascii="宋体" w:hAnsi="宋体" w:eastAsia="宋体" w:cs="宋体"/>
          <w:sz w:val="21"/>
          <w:szCs w:val="21"/>
          <w:highlight w:val="none"/>
        </w:rPr>
        <w:t>为负责公司推广和接待具体工作的职能部门。</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除非得到明确授权并经过培训，公司董事、监事、高级管理人员和员工不得在</w:t>
      </w:r>
      <w:r>
        <w:rPr>
          <w:rFonts w:hint="eastAsia" w:ascii="宋体" w:hAnsi="宋体" w:cs="宋体"/>
          <w:b/>
          <w:bCs/>
          <w:sz w:val="21"/>
          <w:szCs w:val="21"/>
          <w:highlight w:val="none"/>
          <w:lang w:val="en-US" w:eastAsia="zh-CN"/>
        </w:rPr>
        <w:t>投资者接待和推广</w:t>
      </w:r>
      <w:r>
        <w:rPr>
          <w:rFonts w:hint="eastAsia" w:ascii="宋体" w:hAnsi="宋体" w:eastAsia="宋体" w:cs="宋体"/>
          <w:b/>
          <w:bCs/>
          <w:sz w:val="21"/>
          <w:szCs w:val="21"/>
          <w:highlight w:val="none"/>
        </w:rPr>
        <w:t>活动中代表公司发言。</w:t>
      </w:r>
    </w:p>
    <w:p>
      <w:pPr>
        <w:keepNext w:val="0"/>
        <w:keepLines w:val="0"/>
        <w:widowControl/>
        <w:suppressLineNumbers w:val="0"/>
        <w:spacing w:line="360" w:lineRule="auto"/>
        <w:ind w:firstLine="422" w:firstLineChars="200"/>
        <w:jc w:val="left"/>
        <w:rPr>
          <w:rFonts w:hint="default" w:ascii="Times New Roman" w:hAnsi="Times New Roman" w:eastAsia="宋体" w:cs="Times New Roman"/>
          <w:b/>
          <w:bCs/>
          <w:color w:val="auto"/>
          <w:kern w:val="2"/>
          <w:sz w:val="21"/>
          <w:szCs w:val="21"/>
          <w:highlight w:val="none"/>
          <w:lang w:val="en-US" w:eastAsia="zh-CN" w:bidi="ar"/>
        </w:rPr>
      </w:pPr>
      <w:r>
        <w:rPr>
          <w:rFonts w:hint="eastAsia" w:cs="Times New Roman"/>
          <w:b/>
          <w:bCs/>
          <w:color w:val="auto"/>
          <w:kern w:val="2"/>
          <w:sz w:val="21"/>
          <w:szCs w:val="21"/>
          <w:highlight w:val="none"/>
          <w:lang w:val="en-US" w:eastAsia="zh-CN" w:bidi="ar"/>
        </w:rPr>
        <w:t>第六条 公司从事投资者接待和推广工作的人员应具备以下素质和技能：</w:t>
      </w:r>
    </w:p>
    <w:p>
      <w:pPr>
        <w:keepNext w:val="0"/>
        <w:keepLines w:val="0"/>
        <w:widowControl/>
        <w:suppressLineNumbers w:val="0"/>
        <w:spacing w:line="360" w:lineRule="auto"/>
        <w:ind w:firstLine="422" w:firstLineChars="200"/>
        <w:jc w:val="left"/>
        <w:rPr>
          <w:b/>
          <w:bCs/>
          <w:highlight w:val="none"/>
        </w:rPr>
      </w:pPr>
      <w:r>
        <w:rPr>
          <w:rFonts w:hint="default" w:ascii="Times New Roman" w:hAnsi="Times New Roman" w:eastAsia="宋体" w:cs="Times New Roman"/>
          <w:b/>
          <w:bCs/>
          <w:color w:val="auto"/>
          <w:kern w:val="2"/>
          <w:sz w:val="21"/>
          <w:szCs w:val="21"/>
          <w:highlight w:val="none"/>
          <w:lang w:val="en-US" w:eastAsia="zh-CN" w:bidi="ar"/>
        </w:rPr>
        <w:t xml:space="preserve">（一）良好的品行和职业素养，诚实守信； </w:t>
      </w:r>
    </w:p>
    <w:p>
      <w:pPr>
        <w:keepNext w:val="0"/>
        <w:keepLines w:val="0"/>
        <w:widowControl/>
        <w:suppressLineNumbers w:val="0"/>
        <w:spacing w:line="360" w:lineRule="auto"/>
        <w:ind w:firstLine="422" w:firstLineChars="200"/>
        <w:jc w:val="left"/>
        <w:rPr>
          <w:b/>
          <w:bCs/>
          <w:highlight w:val="none"/>
        </w:rPr>
      </w:pPr>
      <w:r>
        <w:rPr>
          <w:rFonts w:hint="default" w:ascii="Times New Roman" w:hAnsi="Times New Roman" w:eastAsia="宋体" w:cs="Times New Roman"/>
          <w:b/>
          <w:bCs/>
          <w:color w:val="auto"/>
          <w:kern w:val="2"/>
          <w:sz w:val="21"/>
          <w:szCs w:val="21"/>
          <w:highlight w:val="none"/>
          <w:lang w:val="en-US" w:eastAsia="zh-CN" w:bidi="ar"/>
        </w:rPr>
        <w:t xml:space="preserve">（二）良好的专业知识结构，熟悉公司治理、财务会计等相关法律、法规和证券市场的运作机制； </w:t>
      </w:r>
    </w:p>
    <w:p>
      <w:pPr>
        <w:keepNext w:val="0"/>
        <w:keepLines w:val="0"/>
        <w:widowControl/>
        <w:suppressLineNumbers w:val="0"/>
        <w:spacing w:line="360" w:lineRule="auto"/>
        <w:ind w:firstLine="422" w:firstLineChars="200"/>
        <w:jc w:val="left"/>
        <w:rPr>
          <w:b/>
          <w:bCs/>
          <w:highlight w:val="none"/>
        </w:rPr>
      </w:pPr>
      <w:r>
        <w:rPr>
          <w:rFonts w:hint="default" w:ascii="Times New Roman" w:hAnsi="Times New Roman" w:eastAsia="宋体" w:cs="Times New Roman"/>
          <w:b/>
          <w:bCs/>
          <w:color w:val="auto"/>
          <w:kern w:val="2"/>
          <w:sz w:val="21"/>
          <w:szCs w:val="21"/>
          <w:highlight w:val="none"/>
          <w:lang w:val="en-US" w:eastAsia="zh-CN" w:bidi="ar"/>
        </w:rPr>
        <w:t xml:space="preserve">（三）良好的沟通和协调能力； </w:t>
      </w:r>
    </w:p>
    <w:p>
      <w:pPr>
        <w:spacing w:line="360" w:lineRule="auto"/>
        <w:ind w:firstLine="422" w:firstLineChars="200"/>
      </w:pPr>
      <w:r>
        <w:rPr>
          <w:rFonts w:hint="default" w:ascii="Times New Roman" w:hAnsi="Times New Roman" w:eastAsia="宋体" w:cs="Times New Roman"/>
          <w:b/>
          <w:bCs/>
          <w:color w:val="auto"/>
          <w:kern w:val="2"/>
          <w:sz w:val="21"/>
          <w:szCs w:val="21"/>
          <w:highlight w:val="none"/>
          <w:lang w:val="en-US" w:eastAsia="zh-CN" w:bidi="ar"/>
        </w:rPr>
        <w:t>（四）全面了解公司以及公司所处行业的情况。</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第七条</w:t>
      </w:r>
      <w:r>
        <w:rPr>
          <w:rFonts w:hint="eastAsia" w:ascii="宋体" w:hAnsi="宋体" w:cs="宋体"/>
          <w:sz w:val="21"/>
          <w:szCs w:val="21"/>
          <w:highlight w:val="none"/>
          <w:lang w:val="en-US" w:eastAsia="zh-CN"/>
        </w:rPr>
        <w:t xml:space="preserve"> </w:t>
      </w:r>
      <w:r>
        <w:rPr>
          <w:rFonts w:hint="eastAsia" w:ascii="宋体" w:hAnsi="宋体" w:eastAsia="宋体" w:cs="宋体"/>
          <w:b/>
          <w:bCs/>
          <w:sz w:val="21"/>
          <w:szCs w:val="21"/>
          <w:highlight w:val="none"/>
        </w:rPr>
        <w:t>公司应当对董事、监事、高级管理人员及相关员工进行投资者关系管理的系统培训，提高其与特定对象进行沟通的能力，增强其对相关法律法规、业务规则和规章制度的理解，树立公平披露意识。</w:t>
      </w:r>
    </w:p>
    <w:p>
      <w:pPr>
        <w:spacing w:beforeLines="-2147483648" w:afterLines="-2147483648" w:line="360" w:lineRule="auto"/>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cs="宋体"/>
          <w:b/>
          <w:bCs w:val="0"/>
          <w:sz w:val="21"/>
          <w:szCs w:val="21"/>
          <w:highlight w:val="none"/>
          <w:vertAlign w:val="baseline"/>
          <w:lang w:val="en-US" w:eastAsia="zh-CN"/>
        </w:rPr>
        <w:t xml:space="preserve">第八条 </w:t>
      </w:r>
      <w:r>
        <w:rPr>
          <w:rFonts w:hint="eastAsia" w:ascii="宋体" w:hAnsi="宋体" w:eastAsia="宋体" w:cs="宋体"/>
          <w:b/>
          <w:bCs/>
          <w:color w:val="000000"/>
          <w:kern w:val="0"/>
          <w:sz w:val="21"/>
          <w:szCs w:val="21"/>
          <w:lang w:val="en-US" w:eastAsia="zh-CN" w:bidi="ar"/>
        </w:rPr>
        <w:t>公司控股股东、实际控制人以及董事、监事和高级管理人员应当为董事会秘书履行投资者</w:t>
      </w:r>
      <w:r>
        <w:rPr>
          <w:rFonts w:hint="eastAsia" w:ascii="宋体" w:hAnsi="宋体" w:cs="宋体"/>
          <w:b/>
          <w:bCs/>
          <w:color w:val="000000"/>
          <w:kern w:val="0"/>
          <w:sz w:val="21"/>
          <w:szCs w:val="21"/>
          <w:lang w:val="en-US" w:eastAsia="zh-CN" w:bidi="ar"/>
        </w:rPr>
        <w:t>接待和推广</w:t>
      </w:r>
      <w:r>
        <w:rPr>
          <w:rFonts w:hint="eastAsia" w:ascii="宋体" w:hAnsi="宋体" w:eastAsia="宋体" w:cs="宋体"/>
          <w:b/>
          <w:bCs/>
          <w:color w:val="000000"/>
          <w:kern w:val="0"/>
          <w:sz w:val="21"/>
          <w:szCs w:val="21"/>
          <w:lang w:val="en-US" w:eastAsia="zh-CN" w:bidi="ar"/>
        </w:rPr>
        <w:t>工作职责提供便利条件。</w:t>
      </w:r>
    </w:p>
    <w:p>
      <w:pPr>
        <w:spacing w:line="360" w:lineRule="auto"/>
        <w:ind w:firstLine="422" w:firstLineChars="200"/>
        <w:rPr>
          <w:b/>
          <w:bCs/>
          <w:highlight w:val="none"/>
        </w:rPr>
      </w:pPr>
      <w:r>
        <w:rPr>
          <w:b/>
          <w:bCs/>
          <w:highlight w:val="none"/>
        </w:rPr>
        <w:t>公司其他高管人员和其它职能部门、控股子公司应积极协助</w:t>
      </w:r>
      <w:r>
        <w:rPr>
          <w:rFonts w:hint="eastAsia"/>
          <w:b/>
          <w:bCs/>
          <w:highlight w:val="none"/>
          <w:lang w:eastAsia="zh-CN"/>
        </w:rPr>
        <w:t>董事会办公室</w:t>
      </w:r>
      <w:r>
        <w:rPr>
          <w:rFonts w:hint="eastAsia"/>
          <w:b/>
          <w:bCs/>
          <w:highlight w:val="none"/>
          <w:lang w:val="en-US" w:eastAsia="zh-CN"/>
        </w:rPr>
        <w:t>组织</w:t>
      </w:r>
      <w:r>
        <w:rPr>
          <w:b/>
          <w:bCs/>
          <w:highlight w:val="none"/>
        </w:rPr>
        <w:t>投资者</w:t>
      </w:r>
      <w:r>
        <w:rPr>
          <w:rFonts w:hint="eastAsia"/>
          <w:b/>
          <w:bCs/>
          <w:highlight w:val="none"/>
          <w:lang w:val="en-US" w:eastAsia="zh-CN"/>
        </w:rPr>
        <w:t>接待和推广活动</w:t>
      </w:r>
      <w:r>
        <w:rPr>
          <w:b/>
          <w:bCs/>
          <w:highlight w:val="none"/>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eastAsia" w:ascii="宋体" w:hAnsi="宋体" w:eastAsia="宋体" w:cs="宋体"/>
          <w:b/>
          <w:bCs w:val="0"/>
          <w:sz w:val="24"/>
          <w:szCs w:val="24"/>
          <w:highlight w:val="none"/>
        </w:rPr>
      </w:pPr>
      <w:r>
        <w:rPr>
          <w:rFonts w:hint="eastAsia" w:ascii="宋体" w:hAnsi="宋体" w:cs="宋体"/>
          <w:b/>
          <w:bCs w:val="0"/>
          <w:sz w:val="24"/>
          <w:szCs w:val="24"/>
          <w:highlight w:val="none"/>
          <w:vertAlign w:val="baseline"/>
          <w:lang w:val="en-US" w:eastAsia="zh-CN"/>
        </w:rPr>
        <w:t xml:space="preserve">第三章 </w:t>
      </w:r>
      <w:r>
        <w:rPr>
          <w:rFonts w:hint="eastAsia" w:ascii="宋体" w:hAnsi="宋体" w:eastAsia="宋体" w:cs="宋体"/>
          <w:b/>
          <w:bCs w:val="0"/>
          <w:sz w:val="24"/>
          <w:szCs w:val="24"/>
          <w:highlight w:val="none"/>
        </w:rPr>
        <w:t>接待和推广工作的内容及行为规范</w:t>
      </w:r>
    </w:p>
    <w:p>
      <w:pPr>
        <w:keepNext w:val="0"/>
        <w:keepLines w:val="0"/>
        <w:pageBreakBefore w:val="0"/>
        <w:widowControl/>
        <w:suppressLineNumbers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000000"/>
          <w:kern w:val="0"/>
          <w:sz w:val="21"/>
          <w:szCs w:val="21"/>
          <w:lang w:val="en-US" w:eastAsia="zh-CN" w:bidi="ar"/>
        </w:rPr>
      </w:pPr>
      <w:r>
        <w:rPr>
          <w:rFonts w:hint="eastAsia" w:cs="Times New Roman"/>
          <w:b/>
          <w:bCs/>
          <w:kern w:val="2"/>
          <w:sz w:val="21"/>
          <w:szCs w:val="21"/>
          <w:highlight w:val="none"/>
          <w:lang w:val="en-US" w:eastAsia="zh-CN" w:bidi="ar"/>
        </w:rPr>
        <w:t xml:space="preserve">第九条 </w:t>
      </w:r>
      <w:r>
        <w:rPr>
          <w:rFonts w:hint="eastAsia" w:ascii="宋体" w:hAnsi="宋体" w:eastAsia="宋体" w:cs="宋体"/>
          <w:b/>
          <w:bCs/>
          <w:color w:val="000000"/>
          <w:kern w:val="0"/>
          <w:sz w:val="21"/>
          <w:szCs w:val="21"/>
          <w:lang w:val="en-US" w:eastAsia="zh-CN" w:bidi="ar"/>
        </w:rPr>
        <w:t>公司接受从事证券分析、咨询及其他证券服务的机构及个人、从事证券投资的机构及个人（以下简称</w:t>
      </w:r>
      <w:r>
        <w:rPr>
          <w:rFonts w:hint="eastAsia" w:ascii="宋体" w:hAnsi="宋体" w:cs="宋体"/>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调研机构及个人</w:t>
      </w:r>
      <w:r>
        <w:rPr>
          <w:rFonts w:hint="eastAsia" w:ascii="宋体" w:hAnsi="宋体" w:cs="宋体"/>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 xml:space="preserve">）的调研时，应当妥善开展相关接待工作，并按规定履行相应的信息披露义务。 </w:t>
      </w:r>
    </w:p>
    <w:p>
      <w:pPr>
        <w:keepNext w:val="0"/>
        <w:keepLines w:val="0"/>
        <w:pageBreakBefore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公司、调研机构及个人不得利用调研活动从事市场操纵、内幕交易或者其他违法违规行为。</w:t>
      </w:r>
    </w:p>
    <w:p>
      <w:pPr>
        <w:keepNext w:val="0"/>
        <w:keepLines w:val="0"/>
        <w:pageBreakBefore w:val="0"/>
        <w:kinsoku/>
        <w:wordWrap/>
        <w:overflowPunct/>
        <w:topLinePunct w:val="0"/>
        <w:bidi w:val="0"/>
        <w:snapToGrid/>
        <w:spacing w:line="360" w:lineRule="auto"/>
        <w:ind w:firstLine="422" w:firstLineChars="200"/>
        <w:jc w:val="left"/>
        <w:textAlignment w:val="auto"/>
        <w:rPr>
          <w:rFonts w:hint="eastAsia" w:cs="Times New Roman"/>
          <w:b/>
          <w:bCs/>
          <w:kern w:val="2"/>
          <w:sz w:val="21"/>
          <w:szCs w:val="21"/>
          <w:highlight w:val="none"/>
          <w:lang w:val="en-US" w:eastAsia="zh-CN" w:bidi="ar"/>
        </w:rPr>
      </w:pPr>
      <w:r>
        <w:rPr>
          <w:rFonts w:hint="eastAsia" w:cs="Times New Roman"/>
          <w:b/>
          <w:bCs/>
          <w:kern w:val="2"/>
          <w:sz w:val="21"/>
          <w:szCs w:val="21"/>
          <w:highlight w:val="none"/>
          <w:lang w:val="en-US" w:eastAsia="zh-CN" w:bidi="ar"/>
        </w:rPr>
        <w:t xml:space="preserve">第十条 </w:t>
      </w:r>
      <w:r>
        <w:rPr>
          <w:rFonts w:hint="eastAsia" w:ascii="宋体" w:hAnsi="宋体" w:eastAsia="宋体" w:cs="宋体"/>
          <w:b/>
          <w:bCs/>
          <w:sz w:val="21"/>
          <w:szCs w:val="21"/>
          <w:highlight w:val="none"/>
        </w:rPr>
        <w:t>当投资者、</w:t>
      </w:r>
      <w:r>
        <w:rPr>
          <w:rFonts w:hint="eastAsia" w:ascii="宋体" w:hAnsi="宋体" w:cs="宋体"/>
          <w:b/>
          <w:bCs/>
          <w:sz w:val="21"/>
          <w:szCs w:val="21"/>
          <w:highlight w:val="none"/>
          <w:lang w:val="en-US" w:eastAsia="zh-CN"/>
        </w:rPr>
        <w:t>基金经理、</w:t>
      </w:r>
      <w:r>
        <w:rPr>
          <w:rFonts w:hint="eastAsia" w:ascii="宋体" w:hAnsi="宋体" w:eastAsia="宋体" w:cs="宋体"/>
          <w:b/>
          <w:bCs/>
          <w:sz w:val="21"/>
          <w:szCs w:val="21"/>
          <w:highlight w:val="none"/>
        </w:rPr>
        <w:t>分析师或新闻媒体等特定对象到公司现场参观、座谈沟通时，公司应合理、妥善地安排参观过程，</w:t>
      </w:r>
      <w:r>
        <w:rPr>
          <w:rFonts w:hint="eastAsia" w:ascii="Times New Roman" w:hAnsi="Times New Roman" w:eastAsia="宋体"/>
          <w:b/>
          <w:sz w:val="21"/>
          <w:szCs w:val="21"/>
          <w:highlight w:val="none"/>
        </w:rPr>
        <w:t>做好信息隔离，</w:t>
      </w:r>
      <w:r>
        <w:rPr>
          <w:rFonts w:hint="eastAsia" w:ascii="Times New Roman" w:hAnsi="Times New Roman" w:eastAsia="宋体" w:cs="Times New Roman"/>
          <w:b/>
          <w:bCs/>
          <w:kern w:val="2"/>
          <w:sz w:val="21"/>
          <w:szCs w:val="21"/>
          <w:highlight w:val="none"/>
          <w:lang w:val="en-US" w:eastAsia="zh-CN" w:bidi="ar"/>
        </w:rPr>
        <w:t>避免让来访人员有机会</w:t>
      </w:r>
      <w:r>
        <w:rPr>
          <w:rFonts w:hint="eastAsia" w:cs="Times New Roman"/>
          <w:b/>
          <w:bCs/>
          <w:kern w:val="2"/>
          <w:sz w:val="21"/>
          <w:szCs w:val="21"/>
          <w:highlight w:val="none"/>
          <w:lang w:val="en-US" w:eastAsia="zh-CN" w:bidi="ar"/>
        </w:rPr>
        <w:t>接触到</w:t>
      </w:r>
      <w:r>
        <w:rPr>
          <w:rFonts w:hint="eastAsia" w:ascii="Times New Roman" w:hAnsi="Times New Roman" w:eastAsia="宋体" w:cs="Times New Roman"/>
          <w:b/>
          <w:bCs/>
          <w:kern w:val="2"/>
          <w:sz w:val="21"/>
          <w:szCs w:val="21"/>
          <w:highlight w:val="none"/>
          <w:lang w:val="en-US" w:eastAsia="zh-CN" w:bidi="ar"/>
        </w:rPr>
        <w:t>内幕信息和未公开的重大事件信息</w:t>
      </w:r>
      <w:r>
        <w:rPr>
          <w:rFonts w:hint="eastAsia" w:cs="Times New Roman"/>
          <w:b/>
          <w:bCs/>
          <w:kern w:val="2"/>
          <w:sz w:val="21"/>
          <w:szCs w:val="21"/>
          <w:highlight w:val="none"/>
          <w:lang w:val="en-US" w:eastAsia="zh-CN" w:bidi="ar"/>
        </w:rPr>
        <w:t>。</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董事会秘书应陪同参观，必要时董事会秘书可指派专人协同参观，并负责对参观人员的提问进行回答。</w:t>
      </w:r>
    </w:p>
    <w:p>
      <w:pPr>
        <w:keepNext w:val="0"/>
        <w:keepLines w:val="0"/>
        <w:pageBreakBefore w:val="0"/>
        <w:numPr>
          <w:ilvl w:val="0"/>
          <w:numId w:val="3"/>
        </w:numPr>
        <w:kinsoku/>
        <w:wordWrap/>
        <w:overflowPunct/>
        <w:topLinePunct w:val="0"/>
        <w:bidi w:val="0"/>
        <w:snapToGrid/>
        <w:spacing w:line="360" w:lineRule="auto"/>
        <w:ind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公司控股股东、实际控制人、董事、监事、高级管理人员及其他员工在接受调研前，应当知会董事会秘书，原则上董事会秘书应当全程参加。 </w:t>
      </w:r>
    </w:p>
    <w:p>
      <w:pPr>
        <w:keepNext w:val="0"/>
        <w:keepLines w:val="0"/>
        <w:pageBreakBefore w:val="0"/>
        <w:numPr>
          <w:ilvl w:val="-1"/>
          <w:numId w:val="0"/>
        </w:numPr>
        <w:kinsoku/>
        <w:wordWrap/>
        <w:overflowPunct/>
        <w:topLinePunct w:val="0"/>
        <w:bidi w:val="0"/>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 xml:space="preserve">第十二条 </w:t>
      </w:r>
      <w:r>
        <w:rPr>
          <w:rFonts w:hint="eastAsia" w:ascii="宋体" w:hAnsi="宋体" w:eastAsia="宋体" w:cs="宋体"/>
          <w:b/>
          <w:bCs/>
          <w:color w:val="000000"/>
          <w:kern w:val="0"/>
          <w:sz w:val="21"/>
          <w:szCs w:val="21"/>
          <w:lang w:val="en-US" w:eastAsia="zh-CN" w:bidi="ar"/>
        </w:rPr>
        <w:t>公司与调研机构及个人进行直接沟通的，除应邀参加证券公司研究所等机构举办的投资策略分析会等情形外，应当要求调研机构及个人出具单位证明和身份证等资料，并要求与其签署承诺书（</w:t>
      </w:r>
      <w:r>
        <w:rPr>
          <w:rFonts w:hint="eastAsia" w:ascii="宋体" w:hAnsi="宋体" w:cs="宋体"/>
          <w:b/>
          <w:bCs/>
          <w:color w:val="000000"/>
          <w:kern w:val="0"/>
          <w:sz w:val="21"/>
          <w:szCs w:val="21"/>
          <w:lang w:val="en-US" w:eastAsia="zh-CN" w:bidi="ar"/>
        </w:rPr>
        <w:t>具体格式见附件一</w:t>
      </w:r>
      <w:r>
        <w:rPr>
          <w:rFonts w:hint="eastAsia" w:ascii="宋体" w:hAnsi="宋体" w:eastAsia="宋体" w:cs="宋体"/>
          <w:b/>
          <w:bCs/>
          <w:color w:val="000000"/>
          <w:kern w:val="0"/>
          <w:sz w:val="21"/>
          <w:szCs w:val="21"/>
          <w:lang w:val="en-US" w:eastAsia="zh-CN" w:bidi="ar"/>
        </w:rPr>
        <w:t>）。</w:t>
      </w:r>
    </w:p>
    <w:p>
      <w:pPr>
        <w:keepNext w:val="0"/>
        <w:keepLines w:val="0"/>
        <w:pageBreakBefore w:val="0"/>
        <w:numPr>
          <w:ilvl w:val="0"/>
          <w:numId w:val="0"/>
        </w:numPr>
        <w:kinsoku/>
        <w:wordWrap/>
        <w:overflowPunct/>
        <w:topLinePunct w:val="0"/>
        <w:bidi w:val="0"/>
        <w:snapToGrid/>
        <w:spacing w:line="360" w:lineRule="auto"/>
        <w:ind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i w:val="0"/>
          <w:iCs w:val="0"/>
          <w:sz w:val="21"/>
          <w:szCs w:val="21"/>
          <w:highlight w:val="none"/>
        </w:rPr>
        <w:t>特定对象可以以个人名义或者以所在机构名义与公司签署承诺书。特定对象可以与公司就单次调研、参观、采访、座谈等直接沟通事项签署承诺书，也可以与公司签署一定期限内有效的承诺书。特定对象与公司签署一定期限内有效的承诺书的，只能以所在机构名义签署。</w:t>
      </w:r>
    </w:p>
    <w:p>
      <w:pPr>
        <w:keepNext w:val="0"/>
        <w:keepLines w:val="0"/>
        <w:pageBreakBefore w:val="0"/>
        <w:numPr>
          <w:ilvl w:val="-1"/>
          <w:numId w:val="0"/>
        </w:numPr>
        <w:kinsoku/>
        <w:wordWrap/>
        <w:overflowPunct/>
        <w:topLinePunct w:val="0"/>
        <w:bidi w:val="0"/>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 xml:space="preserve">第十三条 </w:t>
      </w:r>
      <w:r>
        <w:rPr>
          <w:rFonts w:hint="eastAsia" w:ascii="宋体" w:hAnsi="宋体" w:eastAsia="宋体" w:cs="宋体"/>
          <w:b/>
          <w:bCs/>
          <w:color w:val="000000"/>
          <w:kern w:val="0"/>
          <w:sz w:val="21"/>
          <w:szCs w:val="21"/>
          <w:lang w:val="en-US" w:eastAsia="zh-CN" w:bidi="ar"/>
        </w:rPr>
        <w:t xml:space="preserve">公司应当就调研过程和交流内容形成书面调研记录，参加调研的人员和董事会秘书应当签字确认。具备条件的，可以对调研过程进行录音录像。 </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公司应当将</w:t>
      </w:r>
      <w:r>
        <w:rPr>
          <w:rFonts w:hint="eastAsia" w:ascii="宋体" w:hAnsi="宋体" w:cs="宋体"/>
          <w:b/>
          <w:bCs/>
          <w:sz w:val="21"/>
          <w:szCs w:val="21"/>
          <w:highlight w:val="none"/>
          <w:lang w:val="en-US" w:eastAsia="zh-CN"/>
        </w:rPr>
        <w:t>调研</w:t>
      </w:r>
      <w:r>
        <w:rPr>
          <w:rFonts w:hint="eastAsia" w:ascii="宋体" w:hAnsi="宋体" w:eastAsia="宋体" w:cs="宋体"/>
          <w:b/>
          <w:bCs/>
          <w:sz w:val="21"/>
          <w:szCs w:val="21"/>
          <w:highlight w:val="none"/>
        </w:rPr>
        <w:t>记录、现场录音（如有）、演示文稿（如有）、向对方提供的文档（如有）等文件资料存档并妥善保管</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保管期限不得少于三年</w:t>
      </w:r>
      <w:r>
        <w:rPr>
          <w:rFonts w:hint="eastAsia" w:ascii="宋体" w:hAnsi="宋体" w:eastAsia="宋体" w:cs="宋体"/>
          <w:b/>
          <w:bCs/>
          <w:sz w:val="21"/>
          <w:szCs w:val="21"/>
          <w:highlight w:val="none"/>
        </w:rPr>
        <w:t>。</w:t>
      </w:r>
    </w:p>
    <w:p>
      <w:pPr>
        <w:keepNext w:val="0"/>
        <w:keepLines w:val="0"/>
        <w:pageBreakBefore w:val="0"/>
        <w:kinsoku/>
        <w:wordWrap/>
        <w:overflowPunct/>
        <w:topLinePunct w:val="0"/>
        <w:bidi w:val="0"/>
        <w:snapToGrid/>
        <w:spacing w:line="360" w:lineRule="auto"/>
        <w:ind w:firstLine="422" w:firstLineChars="200"/>
        <w:textAlignment w:val="auto"/>
      </w:pPr>
      <w:r>
        <w:rPr>
          <w:rFonts w:hint="eastAsia" w:ascii="宋体" w:hAnsi="宋体" w:cs="宋体"/>
          <w:b/>
          <w:bCs/>
          <w:sz w:val="21"/>
          <w:szCs w:val="21"/>
          <w:highlight w:val="none"/>
          <w:lang w:val="en-US" w:eastAsia="zh-CN"/>
        </w:rPr>
        <w:t xml:space="preserve">第十四条 </w:t>
      </w:r>
      <w:r>
        <w:rPr>
          <w:rFonts w:hint="eastAsia" w:ascii="宋体" w:hAnsi="宋体" w:eastAsia="宋体" w:cs="宋体"/>
          <w:b/>
          <w:bCs/>
          <w:sz w:val="21"/>
          <w:szCs w:val="21"/>
          <w:highlight w:val="none"/>
        </w:rPr>
        <w:t>公司在与特定对象交流沟通后，应当要求特定对象将基于交流沟通形成的投资价值分析报告、新闻稿等文件在发布或使用前知会公司。公司应认真核查特定对象知会的投资价值分析报告、新闻稿等文件，发现其中存在错误、误导性记载的，应要求其改正，拒不改正的，公司应及时发布澄清公告进行说明。发现其中涉及未公开信息可能对公司股票以及衍生品种市场价格造成重要影响的，应立即报告</w:t>
      </w:r>
      <w:r>
        <w:rPr>
          <w:rFonts w:hint="eastAsia" w:ascii="宋体" w:hAnsi="宋体" w:cs="宋体"/>
          <w:b/>
          <w:bCs/>
          <w:sz w:val="21"/>
          <w:szCs w:val="21"/>
          <w:highlight w:val="none"/>
          <w:lang w:eastAsia="zh-CN"/>
        </w:rPr>
        <w:t>深交所</w:t>
      </w:r>
      <w:r>
        <w:rPr>
          <w:rFonts w:hint="eastAsia" w:ascii="宋体" w:hAnsi="宋体" w:eastAsia="宋体" w:cs="宋体"/>
          <w:b/>
          <w:bCs/>
          <w:sz w:val="21"/>
          <w:szCs w:val="21"/>
          <w:highlight w:val="none"/>
        </w:rPr>
        <w:t>并公告，同时以书面形式要求其在公司正式公告前不得对外泄漏该信息，并明确告知在此期间不得买卖公司证券。</w:t>
      </w:r>
    </w:p>
    <w:p>
      <w:pPr>
        <w:keepNext w:val="0"/>
        <w:keepLines w:val="0"/>
        <w:pageBreakBefore w:val="0"/>
        <w:kinsoku/>
        <w:wordWrap/>
        <w:overflowPunct/>
        <w:topLinePunct w:val="0"/>
        <w:bidi w:val="0"/>
        <w:snapToGrid/>
        <w:spacing w:line="360" w:lineRule="auto"/>
        <w:ind w:firstLine="420" w:firstLineChars="200"/>
        <w:textAlignment w:val="auto"/>
      </w:pPr>
      <w:r>
        <w:t>第十</w:t>
      </w:r>
      <w:r>
        <w:rPr>
          <w:rFonts w:hint="eastAsia"/>
          <w:lang w:val="en-US" w:eastAsia="zh-CN"/>
        </w:rPr>
        <w:t>五</w:t>
      </w:r>
      <w:r>
        <w:t>条</w:t>
      </w:r>
      <w:r>
        <w:rPr>
          <w:rFonts w:hint="eastAsia"/>
        </w:rPr>
        <w:t xml:space="preserve">  </w:t>
      </w:r>
      <w:r>
        <w:t>公司应尽量避免在年报、半年报披露前三十日内接受投资者现场调研、媒体采访等。</w:t>
      </w:r>
    </w:p>
    <w:p>
      <w:pPr>
        <w:keepNext w:val="0"/>
        <w:keepLines w:val="0"/>
        <w:pageBreakBefore w:val="0"/>
        <w:widowControl/>
        <w:suppressLineNumbers w:val="0"/>
        <w:kinsoku/>
        <w:wordWrap/>
        <w:overflowPunct/>
        <w:topLinePunct w:val="0"/>
        <w:bidi w:val="0"/>
        <w:snapToGrid/>
        <w:spacing w:line="360" w:lineRule="auto"/>
        <w:ind w:firstLine="422" w:firstLineChars="200"/>
        <w:jc w:val="left"/>
        <w:textAlignment w:val="auto"/>
        <w:rPr>
          <w:rFonts w:hint="eastAsia" w:ascii="宋体" w:hAnsi="宋体" w:cs="宋体"/>
          <w:b/>
          <w:bCs/>
          <w:color w:val="000000"/>
          <w:kern w:val="0"/>
          <w:lang w:bidi="ar"/>
        </w:rPr>
      </w:pPr>
      <w:r>
        <w:rPr>
          <w:rFonts w:hint="eastAsia" w:ascii="宋体" w:hAnsi="宋体" w:cs="宋体"/>
          <w:b/>
          <w:bCs/>
          <w:color w:val="000000"/>
          <w:kern w:val="0"/>
          <w:sz w:val="21"/>
          <w:szCs w:val="21"/>
          <w:lang w:val="en-US" w:eastAsia="zh-CN" w:bidi="ar"/>
        </w:rPr>
        <w:t xml:space="preserve">第十六条 </w:t>
      </w:r>
      <w:r>
        <w:rPr>
          <w:rFonts w:hint="eastAsia" w:ascii="宋体" w:hAnsi="宋体" w:eastAsia="宋体" w:cs="宋体"/>
          <w:b/>
          <w:bCs/>
          <w:color w:val="000000"/>
          <w:kern w:val="0"/>
          <w:sz w:val="21"/>
          <w:szCs w:val="21"/>
          <w:lang w:val="en-US" w:eastAsia="zh-CN" w:bidi="ar"/>
        </w:rPr>
        <w:t xml:space="preserve">公司应当明确区分宣传广告与媒体报道，不应以宣传广告材料以及有偿手段影响媒体的客观独立报道。 </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公司应当及时关注媒体的宣传报道，必要时予以适当回应。</w:t>
      </w:r>
    </w:p>
    <w:p>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color w:val="000000"/>
          <w:kern w:val="0"/>
          <w:sz w:val="21"/>
          <w:szCs w:val="21"/>
          <w:lang w:bidi="ar"/>
        </w:rPr>
      </w:pPr>
      <w:r>
        <w:rPr>
          <w:rFonts w:hint="eastAsia" w:ascii="宋体" w:hAnsi="宋体" w:cs="宋体"/>
          <w:b/>
          <w:bCs/>
          <w:color w:val="000000"/>
          <w:kern w:val="0"/>
          <w:sz w:val="21"/>
          <w:szCs w:val="21"/>
          <w:lang w:val="en-US" w:eastAsia="zh-CN" w:bidi="ar"/>
        </w:rPr>
        <w:t xml:space="preserve">第十七条 </w:t>
      </w:r>
      <w:r>
        <w:rPr>
          <w:rFonts w:hint="eastAsia" w:ascii="宋体" w:hAnsi="宋体" w:eastAsia="宋体" w:cs="宋体"/>
          <w:b/>
          <w:bCs/>
          <w:color w:val="000000"/>
          <w:kern w:val="0"/>
          <w:sz w:val="21"/>
          <w:szCs w:val="21"/>
          <w:lang w:bidi="ar"/>
        </w:rPr>
        <w:t>公司接受新闻媒体及其他机构或者个人调研或采访，参照</w:t>
      </w:r>
      <w:r>
        <w:rPr>
          <w:rFonts w:hint="eastAsia" w:ascii="宋体" w:hAnsi="宋体" w:cs="宋体"/>
          <w:b/>
          <w:bCs/>
          <w:color w:val="000000"/>
          <w:kern w:val="0"/>
          <w:sz w:val="21"/>
          <w:szCs w:val="21"/>
          <w:lang w:val="en-US" w:eastAsia="zh-CN" w:bidi="ar"/>
        </w:rPr>
        <w:t>本制度</w:t>
      </w:r>
      <w:r>
        <w:rPr>
          <w:rFonts w:hint="eastAsia" w:ascii="宋体" w:hAnsi="宋体" w:eastAsia="宋体" w:cs="宋体"/>
          <w:b/>
          <w:bCs/>
          <w:color w:val="000000"/>
          <w:kern w:val="0"/>
          <w:sz w:val="21"/>
          <w:szCs w:val="21"/>
          <w:lang w:bidi="ar"/>
        </w:rPr>
        <w:t>规定执行。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公司控股股东、实际控制人接受与公司相关的调研或采访，参照本</w:t>
      </w:r>
      <w:r>
        <w:rPr>
          <w:rFonts w:hint="eastAsia" w:ascii="宋体" w:hAnsi="宋体" w:cs="宋体"/>
          <w:b/>
          <w:bCs/>
          <w:color w:val="000000"/>
          <w:kern w:val="0"/>
          <w:sz w:val="21"/>
          <w:szCs w:val="21"/>
          <w:lang w:val="en-US" w:eastAsia="zh-CN" w:bidi="ar"/>
        </w:rPr>
        <w:t>制度</w:t>
      </w:r>
      <w:r>
        <w:rPr>
          <w:rFonts w:hint="eastAsia" w:ascii="宋体" w:hAnsi="宋体" w:eastAsia="宋体" w:cs="宋体"/>
          <w:b/>
          <w:bCs/>
          <w:color w:val="000000"/>
          <w:kern w:val="0"/>
          <w:sz w:val="21"/>
          <w:szCs w:val="21"/>
          <w:lang w:bidi="ar"/>
        </w:rPr>
        <w:t>规定执行。</w:t>
      </w:r>
    </w:p>
    <w:p>
      <w:pPr>
        <w:keepNext w:val="0"/>
        <w:keepLines w:val="0"/>
        <w:pageBreakBefore w:val="0"/>
        <w:kinsoku/>
        <w:wordWrap/>
        <w:overflowPunct/>
        <w:topLinePunct w:val="0"/>
        <w:bidi w:val="0"/>
        <w:snapToGrid/>
        <w:spacing w:line="360" w:lineRule="auto"/>
        <w:ind w:firstLine="420" w:firstLineChars="200"/>
        <w:textAlignment w:val="auto"/>
        <w:rPr>
          <w:rFonts w:hint="eastAsia"/>
        </w:rPr>
      </w:pPr>
      <w:r>
        <w:t>第十</w:t>
      </w:r>
      <w:r>
        <w:rPr>
          <w:rFonts w:hint="eastAsia"/>
          <w:lang w:val="en-US" w:eastAsia="zh-CN"/>
        </w:rPr>
        <w:t>八</w:t>
      </w:r>
      <w:r>
        <w:t>条  公司</w:t>
      </w:r>
      <w:r>
        <w:rPr>
          <w:rFonts w:hint="eastAsia"/>
        </w:rPr>
        <w:t>可以在</w:t>
      </w:r>
      <w:r>
        <w:t>年度报告披露后十</w:t>
      </w:r>
      <w:r>
        <w:rPr>
          <w:rFonts w:hint="eastAsia"/>
        </w:rPr>
        <w:t>五个交易</w:t>
      </w:r>
      <w:r>
        <w:t>日内举行年度报告说明会，</w:t>
      </w:r>
      <w:r>
        <w:rPr>
          <w:rFonts w:hint="eastAsia"/>
        </w:rPr>
        <w:t>由公司董事长（或者总裁）、财务负责人、独立董事、董事会秘书、保荐代表人出席，对公司所处行业状况、发展战略、生产经营、财务状况、风险与困难等投资者关心的内容进行说明。</w:t>
      </w:r>
    </w:p>
    <w:p>
      <w:pPr>
        <w:keepNext w:val="0"/>
        <w:keepLines w:val="0"/>
        <w:pageBreakBefore w:val="0"/>
        <w:kinsoku/>
        <w:wordWrap/>
        <w:overflowPunct/>
        <w:topLinePunct w:val="0"/>
        <w:bidi w:val="0"/>
        <w:snapToGrid/>
        <w:spacing w:line="360" w:lineRule="auto"/>
        <w:ind w:firstLine="420" w:firstLineChars="200"/>
        <w:textAlignment w:val="auto"/>
      </w:pPr>
      <w:r>
        <w:rPr>
          <w:rFonts w:hint="eastAsia"/>
        </w:rPr>
        <w:t>公司拟召开年报说明会的，应当至少提前二个交易日发布召开通知，说明召开日期及时间、召开方式（现场/网络）、召开地点或者网址、公司出席人员名单等。</w:t>
      </w:r>
    </w:p>
    <w:p>
      <w:pPr>
        <w:keepNext w:val="0"/>
        <w:keepLines w:val="0"/>
        <w:pageBreakBefore w:val="0"/>
        <w:kinsoku/>
        <w:wordWrap/>
        <w:overflowPunct/>
        <w:topLinePunct w:val="0"/>
        <w:bidi w:val="0"/>
        <w:snapToGrid/>
        <w:spacing w:line="360" w:lineRule="auto"/>
        <w:ind w:firstLine="420" w:firstLineChars="200"/>
        <w:textAlignment w:val="auto"/>
      </w:pPr>
      <w:r>
        <w:t>第十</w:t>
      </w:r>
      <w:r>
        <w:rPr>
          <w:rFonts w:hint="eastAsia"/>
          <w:lang w:val="en-US" w:eastAsia="zh-CN"/>
        </w:rPr>
        <w:t>九</w:t>
      </w:r>
      <w:r>
        <w:t>条  公司</w:t>
      </w:r>
      <w:r>
        <w:rPr>
          <w:rFonts w:hint="eastAsia"/>
        </w:rPr>
        <w:t>投资者专线电话</w:t>
      </w:r>
      <w:r>
        <w:t>由公司</w:t>
      </w:r>
      <w:r>
        <w:rPr>
          <w:rFonts w:hint="eastAsia"/>
          <w:lang w:eastAsia="zh-CN"/>
        </w:rPr>
        <w:t>董事会办公室</w:t>
      </w:r>
      <w:r>
        <w:t>专人负责，保证在工作时间线路畅通。接听人员应认真接听，以热情、耐心的态度回答投资者的提问，收集投资者的意见和建议并及时反馈给相关领导。</w:t>
      </w:r>
    </w:p>
    <w:p>
      <w:pPr>
        <w:keepNext w:val="0"/>
        <w:keepLines w:val="0"/>
        <w:pageBreakBefore w:val="0"/>
        <w:kinsoku/>
        <w:wordWrap/>
        <w:overflowPunct/>
        <w:topLinePunct w:val="0"/>
        <w:bidi w:val="0"/>
        <w:snapToGrid/>
        <w:spacing w:line="360" w:lineRule="auto"/>
        <w:ind w:firstLine="420" w:firstLineChars="200"/>
        <w:textAlignment w:val="auto"/>
      </w:pPr>
      <w:r>
        <w:t>第</w:t>
      </w:r>
      <w:r>
        <w:rPr>
          <w:rFonts w:hint="eastAsia"/>
          <w:lang w:val="en-US" w:eastAsia="zh-CN"/>
        </w:rPr>
        <w:t>二十</w:t>
      </w:r>
      <w:r>
        <w:t>条  公司通过业绩说明会、分析师会议、路演、接受投资者调研等形式就公司的经营情况、财务状况及其他事件与任何机构和个人进行沟通时，不得提供未公开重大信息。若机构和个人提出的问题涉及未公开重大信息，或者回答的问题可以推理出未公开重大信息的，公司应拒绝回答。</w:t>
      </w:r>
    </w:p>
    <w:p>
      <w:pPr>
        <w:keepNext w:val="0"/>
        <w:keepLines w:val="0"/>
        <w:pageBreakBefore w:val="0"/>
        <w:kinsoku/>
        <w:wordWrap/>
        <w:overflowPunct/>
        <w:topLinePunct w:val="0"/>
        <w:bidi w:val="0"/>
        <w:snapToGrid/>
        <w:spacing w:line="360" w:lineRule="auto"/>
        <w:ind w:firstLine="420" w:firstLineChars="200"/>
        <w:textAlignment w:val="auto"/>
      </w:pPr>
      <w:r>
        <w:t>第</w:t>
      </w:r>
      <w:r>
        <w:rPr>
          <w:rFonts w:hint="eastAsia"/>
          <w:lang w:val="en-US" w:eastAsia="zh-CN"/>
        </w:rPr>
        <w:t>二十一</w:t>
      </w:r>
      <w:r>
        <w:t>条  公司业绩说明会、分析师会议、路演等活动可以采取网上直播的方式进行，并事先以公告的形式就活动时间、方式和主要内容等向投资者予以说明，使所有投资者均有机会参与。</w:t>
      </w:r>
    </w:p>
    <w:p>
      <w:pPr>
        <w:spacing w:beforeLines="50" w:afterLines="5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第四章  投资者接待和推广的信息披露</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第二十</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rPr>
        <w:t xml:space="preserve">条 </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公司及相关信息披露义务人在投资者关系活动中如向特定对象提供了未公开的非重大信息，</w:t>
      </w:r>
      <w:r>
        <w:rPr>
          <w:rFonts w:hint="eastAsia" w:ascii="宋体" w:hAnsi="宋体" w:cs="宋体"/>
          <w:b/>
          <w:bCs/>
          <w:sz w:val="21"/>
          <w:szCs w:val="21"/>
          <w:highlight w:val="none"/>
          <w:lang w:val="en-US" w:eastAsia="zh-CN"/>
        </w:rPr>
        <w:t>应及时向深交所报告并公告，同时按照本制度第十四条的规定向相关人员履行书面告知义务。</w:t>
      </w:r>
    </w:p>
    <w:p>
      <w:pPr>
        <w:keepNext w:val="0"/>
        <w:keepLines w:val="0"/>
        <w:pageBreakBefore w:val="0"/>
        <w:kinsoku/>
        <w:wordWrap/>
        <w:overflowPunct/>
        <w:topLinePunct w:val="0"/>
        <w:bidi w:val="0"/>
        <w:snapToGrid/>
        <w:spacing w:line="360" w:lineRule="auto"/>
        <w:ind w:firstLine="420" w:firstLineChars="200"/>
        <w:textAlignment w:val="auto"/>
      </w:pPr>
      <w:r>
        <w:t>第二十</w:t>
      </w:r>
      <w:r>
        <w:rPr>
          <w:rFonts w:hint="eastAsia"/>
          <w:lang w:val="en-US" w:eastAsia="zh-CN"/>
        </w:rPr>
        <w:t>三</w:t>
      </w:r>
      <w:r>
        <w:t>条  公司应当将投资者关系管理相关制度通过公司业务专区</w:t>
      </w:r>
      <w:r>
        <w:rPr>
          <w:rFonts w:hint="eastAsia"/>
        </w:rPr>
        <w:t>“资料填报</w:t>
      </w:r>
      <w:r>
        <w:t>-投资者关系管理信息</w:t>
      </w:r>
      <w:r>
        <w:rPr>
          <w:rFonts w:hint="eastAsia"/>
        </w:rPr>
        <w:t>填报”</w:t>
      </w:r>
      <w:r>
        <w:t>栏目提交</w:t>
      </w:r>
      <w:r>
        <w:rPr>
          <w:rFonts w:hint="eastAsia"/>
          <w:lang w:eastAsia="zh-CN"/>
        </w:rPr>
        <w:t>深交所</w:t>
      </w:r>
      <w:r>
        <w:t>互动易网站（http://irm.cninfo.com.cn）披露，同时在公司网站（如有）予以披露。</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pPr>
      <w:r>
        <w:t>第二十</w:t>
      </w:r>
      <w:r>
        <w:rPr>
          <w:rFonts w:hint="eastAsia"/>
          <w:lang w:val="en-US" w:eastAsia="zh-CN"/>
        </w:rPr>
        <w:t>四</w:t>
      </w:r>
      <w:r>
        <w:t>条  公司在投资者关系活动结束后两个交易日内，应当编制《投资者关系活动记录表》（具体格式见附件二），并将该表及活动过程中所使用的演示文稿、提供的文档等附件（如有）及时通过</w:t>
      </w:r>
      <w:r>
        <w:rPr>
          <w:rFonts w:hint="eastAsia"/>
          <w:lang w:eastAsia="zh-CN"/>
        </w:rPr>
        <w:t>深交所</w:t>
      </w:r>
      <w:r>
        <w:t>公司业务专区在互动易网站刊载，同时在公司网站（如有）刊载。</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pPr>
      <w:r>
        <w:t>公司本次投资者关系活动所使用的演示文稿、提供的文档与公司此前已经刊载的演示文稿和文档内容基本相同的，可以不再重复上传，但应当在本次刊载的《投资者关系活动记录表》中予以说明。</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pPr>
      <w:r>
        <w:t>公司不得通过互动易网站披露未公开重大信息。公司在互动易网站的披露行为不代替其法定披露义务。</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pPr>
      <w:r>
        <w:t>第二十</w:t>
      </w:r>
      <w:r>
        <w:rPr>
          <w:rFonts w:hint="eastAsia"/>
          <w:lang w:val="en-US" w:eastAsia="zh-CN"/>
        </w:rPr>
        <w:t>五</w:t>
      </w:r>
      <w:r>
        <w:t>条  公司董事会应当保证在互动易网站刊载的投资者关系活动相关文件的真实性、准确性和完整性。相关文件一旦在互动易网站刊载，原则上不得撤回或替换。公司发现已刊载的文件存在错误或遗漏的，应当及时刊载更正后的文件，并向互动易网站申请在文件名上添加标注，对更正前后的文件进行区分。</w:t>
      </w:r>
    </w:p>
    <w:p>
      <w:pPr>
        <w:keepNext w:val="0"/>
        <w:keepLines w:val="0"/>
        <w:pageBreakBefore w:val="0"/>
        <w:kinsoku/>
        <w:wordWrap/>
        <w:overflowPunct/>
        <w:topLinePunct w:val="0"/>
        <w:bidi w:val="0"/>
        <w:snapToGrid/>
        <w:spacing w:line="360" w:lineRule="auto"/>
        <w:ind w:firstLine="420" w:firstLineChars="200"/>
        <w:textAlignment w:val="auto"/>
      </w:pPr>
      <w:r>
        <w:t>第二十</w:t>
      </w:r>
      <w:r>
        <w:rPr>
          <w:rFonts w:hint="eastAsia"/>
          <w:lang w:val="en-US" w:eastAsia="zh-CN"/>
        </w:rPr>
        <w:t>六</w:t>
      </w:r>
      <w:r>
        <w:t>条  必要时，公司将通过召开新闻发布会、投资者见面会、网上说明会等方式扩大信息的传播范围，以使更多投资者即使知悉了解公司已公开的重大信息。</w:t>
      </w:r>
    </w:p>
    <w:p>
      <w:pPr>
        <w:keepNext w:val="0"/>
        <w:keepLines w:val="0"/>
        <w:pageBreakBefore w:val="0"/>
        <w:kinsoku/>
        <w:wordWrap/>
        <w:overflowPunct/>
        <w:topLinePunct w:val="0"/>
        <w:bidi w:val="0"/>
        <w:snapToGrid/>
        <w:spacing w:line="360" w:lineRule="auto"/>
        <w:ind w:firstLine="420" w:firstLineChars="200"/>
        <w:textAlignment w:val="auto"/>
      </w:pPr>
      <w:r>
        <w:t>第二十</w:t>
      </w:r>
      <w:r>
        <w:rPr>
          <w:rFonts w:hint="eastAsia"/>
          <w:lang w:val="en-US" w:eastAsia="zh-CN"/>
        </w:rPr>
        <w:t>七</w:t>
      </w:r>
      <w:r>
        <w:t>条  公司实施</w:t>
      </w:r>
      <w:r>
        <w:rPr>
          <w:rFonts w:hint="eastAsia"/>
        </w:rPr>
        <w:t>再</w:t>
      </w:r>
      <w:r>
        <w:t>融资计划过程中（包括非公开发行），向特定个人或机构进行询价、推介等活动时应特别注意信息披露的公平性，不得通过向其提供未公开重大信息以吸引其认购公司证券。</w:t>
      </w:r>
    </w:p>
    <w:p>
      <w:pPr>
        <w:keepNext w:val="0"/>
        <w:keepLines w:val="0"/>
        <w:pageBreakBefore w:val="0"/>
        <w:kinsoku/>
        <w:wordWrap/>
        <w:overflowPunct/>
        <w:topLinePunct w:val="0"/>
        <w:bidi w:val="0"/>
        <w:snapToGrid/>
        <w:spacing w:line="360" w:lineRule="auto"/>
        <w:ind w:firstLine="420" w:firstLineChars="200"/>
        <w:textAlignment w:val="auto"/>
      </w:pPr>
      <w:r>
        <w:t>第二十</w:t>
      </w:r>
      <w:r>
        <w:rPr>
          <w:rFonts w:hint="eastAsia"/>
          <w:lang w:val="en-US" w:eastAsia="zh-CN"/>
        </w:rPr>
        <w:t>八</w:t>
      </w:r>
      <w:r>
        <w:t>条  公司在进行商务谈判、银行贷款等事项时，因特殊情况确实需要向对方提供未公开重大信息，公司应要求对方签署保密协议，保证不对外泄露有关信息，并承诺在有关信息公告前不买卖公司证券。一旦出现信息泄露、市场传闻或证券交易异常，公司应及时采取措施或报告</w:t>
      </w:r>
      <w:r>
        <w:rPr>
          <w:rFonts w:hint="eastAsia"/>
          <w:lang w:eastAsia="zh-CN"/>
        </w:rPr>
        <w:t>深交所</w:t>
      </w:r>
      <w:r>
        <w:t>并立即公告。</w:t>
      </w:r>
    </w:p>
    <w:p>
      <w:pPr>
        <w:keepNext w:val="0"/>
        <w:keepLines w:val="0"/>
        <w:pageBreakBefore w:val="0"/>
        <w:kinsoku/>
        <w:wordWrap/>
        <w:overflowPunct/>
        <w:topLinePunct w:val="0"/>
        <w:bidi w:val="0"/>
        <w:snapToGrid/>
        <w:spacing w:line="360" w:lineRule="auto"/>
        <w:ind w:firstLine="420" w:firstLineChars="200"/>
        <w:textAlignment w:val="auto"/>
      </w:pPr>
      <w:r>
        <w:t>公司及相关信息披露义务人在与以下特定对象进行相关信息交流时，一旦出现信息泄露、市场传闻或证券交易异常，公司应及时采取措施或报告</w:t>
      </w:r>
      <w:r>
        <w:rPr>
          <w:rFonts w:hint="eastAsia"/>
          <w:lang w:eastAsia="zh-CN"/>
        </w:rPr>
        <w:t>深交所</w:t>
      </w:r>
      <w:r>
        <w:t>并立即公告：</w:t>
      </w:r>
    </w:p>
    <w:p>
      <w:pPr>
        <w:keepNext w:val="0"/>
        <w:keepLines w:val="0"/>
        <w:pageBreakBefore w:val="0"/>
        <w:kinsoku/>
        <w:wordWrap/>
        <w:overflowPunct/>
        <w:topLinePunct w:val="0"/>
        <w:bidi w:val="0"/>
        <w:snapToGrid/>
        <w:spacing w:line="360" w:lineRule="auto"/>
        <w:ind w:firstLine="420" w:firstLineChars="200"/>
        <w:textAlignment w:val="auto"/>
      </w:pPr>
      <w:r>
        <w:t xml:space="preserve">（一）从事证券分析、咨询及其他证券服务业的机构、个人及其关联人； </w:t>
      </w:r>
    </w:p>
    <w:p>
      <w:pPr>
        <w:keepNext w:val="0"/>
        <w:keepLines w:val="0"/>
        <w:pageBreakBefore w:val="0"/>
        <w:kinsoku/>
        <w:wordWrap/>
        <w:overflowPunct/>
        <w:topLinePunct w:val="0"/>
        <w:bidi w:val="0"/>
        <w:snapToGrid/>
        <w:spacing w:line="360" w:lineRule="auto"/>
        <w:ind w:firstLine="420" w:firstLineChars="200"/>
        <w:textAlignment w:val="auto"/>
      </w:pPr>
      <w:r>
        <w:t xml:space="preserve">（二）从事证券投资的机构、个人及其关联人； </w:t>
      </w:r>
    </w:p>
    <w:p>
      <w:pPr>
        <w:keepNext w:val="0"/>
        <w:keepLines w:val="0"/>
        <w:pageBreakBefore w:val="0"/>
        <w:kinsoku/>
        <w:wordWrap/>
        <w:overflowPunct/>
        <w:topLinePunct w:val="0"/>
        <w:bidi w:val="0"/>
        <w:snapToGrid/>
        <w:spacing w:line="360" w:lineRule="auto"/>
        <w:ind w:firstLine="420" w:firstLineChars="200"/>
        <w:textAlignment w:val="auto"/>
      </w:pPr>
      <w:r>
        <w:t xml:space="preserve">（三）持有公司总股本5％以上股份的股东及其关联人； </w:t>
      </w:r>
    </w:p>
    <w:p>
      <w:pPr>
        <w:keepNext w:val="0"/>
        <w:keepLines w:val="0"/>
        <w:pageBreakBefore w:val="0"/>
        <w:kinsoku/>
        <w:wordWrap/>
        <w:overflowPunct/>
        <w:topLinePunct w:val="0"/>
        <w:bidi w:val="0"/>
        <w:snapToGrid/>
        <w:spacing w:line="360" w:lineRule="auto"/>
        <w:ind w:firstLine="420" w:firstLineChars="200"/>
        <w:textAlignment w:val="auto"/>
      </w:pPr>
      <w:r>
        <w:t xml:space="preserve">（四）新闻媒体的新闻从业人员及其关联人； </w:t>
      </w:r>
    </w:p>
    <w:p>
      <w:pPr>
        <w:keepNext w:val="0"/>
        <w:keepLines w:val="0"/>
        <w:pageBreakBefore w:val="0"/>
        <w:kinsoku/>
        <w:wordWrap/>
        <w:overflowPunct/>
        <w:topLinePunct w:val="0"/>
        <w:bidi w:val="0"/>
        <w:snapToGrid/>
        <w:spacing w:line="360" w:lineRule="auto"/>
        <w:ind w:firstLine="420" w:firstLineChars="200"/>
        <w:textAlignment w:val="auto"/>
      </w:pPr>
      <w:r>
        <w:t>（五）与律师、会计师、保荐代表人、保荐机构等进行的相关信息交流；</w:t>
      </w:r>
    </w:p>
    <w:p>
      <w:pPr>
        <w:keepNext w:val="0"/>
        <w:keepLines w:val="0"/>
        <w:pageBreakBefore w:val="0"/>
        <w:kinsoku/>
        <w:wordWrap/>
        <w:overflowPunct/>
        <w:topLinePunct w:val="0"/>
        <w:bidi w:val="0"/>
        <w:snapToGrid/>
        <w:spacing w:line="360" w:lineRule="auto"/>
        <w:ind w:firstLine="420" w:firstLineChars="200"/>
        <w:textAlignment w:val="auto"/>
      </w:pPr>
      <w:r>
        <w:t>（六）与税务部门、统计部门等进行的相关信息交流；</w:t>
      </w:r>
    </w:p>
    <w:p>
      <w:pPr>
        <w:keepNext w:val="0"/>
        <w:keepLines w:val="0"/>
        <w:pageBreakBefore w:val="0"/>
        <w:kinsoku/>
        <w:wordWrap/>
        <w:overflowPunct/>
        <w:topLinePunct w:val="0"/>
        <w:bidi w:val="0"/>
        <w:snapToGrid/>
        <w:spacing w:line="360" w:lineRule="auto"/>
        <w:ind w:firstLine="420" w:firstLineChars="200"/>
        <w:textAlignment w:val="auto"/>
      </w:pPr>
      <w:r>
        <w:t>（七）交易所认定的其他单位或个人。</w:t>
      </w:r>
    </w:p>
    <w:p>
      <w:pPr>
        <w:keepNext w:val="0"/>
        <w:keepLines w:val="0"/>
        <w:pageBreakBefore w:val="0"/>
        <w:kinsoku/>
        <w:wordWrap/>
        <w:overflowPunct/>
        <w:topLinePunct w:val="0"/>
        <w:bidi w:val="0"/>
        <w:snapToGrid/>
        <w:spacing w:line="360" w:lineRule="auto"/>
        <w:ind w:firstLine="420" w:firstLineChars="200"/>
        <w:textAlignment w:val="auto"/>
      </w:pPr>
      <w:r>
        <w:t>第二十九条  公司及其董事、监事、高级管理人员、股东、实际控制人等相关信息披露义务人在接受调研、沟通、采访及宣传、推广等活动中违反本制度规定，应当承担相应责任。</w:t>
      </w:r>
    </w:p>
    <w:p>
      <w:pPr>
        <w:spacing w:beforeLines="50" w:afterLines="5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第五章  现场接待细则</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 xml:space="preserve">第三十条  </w:t>
      </w:r>
      <w:r>
        <w:rPr>
          <w:rFonts w:hint="eastAsia" w:ascii="宋体" w:hAnsi="宋体" w:cs="宋体"/>
          <w:b/>
          <w:bCs/>
          <w:sz w:val="21"/>
          <w:szCs w:val="21"/>
          <w:highlight w:val="none"/>
          <w:lang w:val="en-US" w:eastAsia="zh-CN"/>
        </w:rPr>
        <w:t>调研机构和个人</w:t>
      </w:r>
      <w:r>
        <w:rPr>
          <w:rFonts w:hint="eastAsia" w:ascii="宋体" w:hAnsi="宋体" w:eastAsia="宋体" w:cs="宋体"/>
          <w:b/>
          <w:bCs/>
          <w:sz w:val="21"/>
          <w:szCs w:val="21"/>
          <w:highlight w:val="none"/>
        </w:rPr>
        <w:t>等特定对象到公司现场参观、座谈沟通前，实行预约制度</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公司可以视情况合并安排不同调研机构和个人的调研需求。</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第三十一条  </w:t>
      </w:r>
      <w:r>
        <w:rPr>
          <w:rFonts w:hint="eastAsia" w:ascii="宋体" w:hAnsi="宋体" w:cs="宋体"/>
          <w:b/>
          <w:bCs/>
          <w:sz w:val="21"/>
          <w:szCs w:val="21"/>
          <w:highlight w:val="none"/>
          <w:lang w:val="en-US" w:eastAsia="zh-CN"/>
        </w:rPr>
        <w:t>调研机构和个人的</w:t>
      </w:r>
      <w:r>
        <w:rPr>
          <w:rFonts w:hint="eastAsia" w:ascii="宋体" w:hAnsi="宋体" w:eastAsia="宋体" w:cs="宋体"/>
          <w:b/>
          <w:bCs/>
          <w:sz w:val="21"/>
          <w:szCs w:val="21"/>
          <w:highlight w:val="none"/>
        </w:rPr>
        <w:t>现场接待</w:t>
      </w:r>
      <w:r>
        <w:rPr>
          <w:rFonts w:hint="eastAsia" w:ascii="宋体" w:hAnsi="宋体" w:cs="宋体"/>
          <w:b/>
          <w:bCs/>
          <w:sz w:val="21"/>
          <w:szCs w:val="21"/>
          <w:highlight w:val="none"/>
          <w:lang w:val="en-US" w:eastAsia="zh-CN"/>
        </w:rPr>
        <w:t>及参观路线等安排</w:t>
      </w:r>
      <w:r>
        <w:rPr>
          <w:rFonts w:hint="eastAsia" w:ascii="宋体" w:hAnsi="宋体" w:eastAsia="宋体" w:cs="宋体"/>
          <w:b/>
          <w:bCs/>
          <w:sz w:val="21"/>
          <w:szCs w:val="21"/>
          <w:highlight w:val="none"/>
        </w:rPr>
        <w:t>由董事会秘书负责</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董事会办公室负责进行登记，并核实来访人员的身份，安排签署附件一的承诺书等相关文件</w:t>
      </w:r>
      <w:r>
        <w:rPr>
          <w:rFonts w:hint="eastAsia" w:ascii="宋体" w:hAnsi="宋体" w:eastAsia="宋体" w:cs="宋体"/>
          <w:b/>
          <w:bCs/>
          <w:sz w:val="21"/>
          <w:szCs w:val="21"/>
          <w:highlight w:val="none"/>
        </w:rPr>
        <w:t>。</w:t>
      </w:r>
    </w:p>
    <w:p>
      <w:pPr>
        <w:keepNext w:val="0"/>
        <w:keepLines w:val="0"/>
        <w:pageBreakBefore w:val="0"/>
        <w:kinsoku/>
        <w:wordWrap/>
        <w:overflowPunct/>
        <w:topLinePunct w:val="0"/>
        <w:bidi w:val="0"/>
        <w:snapToGrid/>
        <w:spacing w:line="360" w:lineRule="auto"/>
        <w:ind w:firstLine="422" w:firstLineChars="200"/>
        <w:textAlignment w:val="auto"/>
      </w:pPr>
      <w:r>
        <w:rPr>
          <w:rFonts w:hint="eastAsia" w:ascii="宋体" w:hAnsi="宋体" w:eastAsia="宋体" w:cs="宋体"/>
          <w:b/>
          <w:bCs/>
          <w:sz w:val="21"/>
          <w:szCs w:val="21"/>
          <w:highlight w:val="none"/>
        </w:rPr>
        <w:t xml:space="preserve">第三十二条  </w:t>
      </w:r>
      <w:r>
        <w:rPr>
          <w:rFonts w:hint="eastAsia" w:ascii="宋体" w:hAnsi="宋体" w:cs="宋体"/>
          <w:b/>
          <w:bCs/>
          <w:sz w:val="21"/>
          <w:szCs w:val="21"/>
          <w:highlight w:val="none"/>
          <w:lang w:val="en-US" w:eastAsia="zh-CN"/>
        </w:rPr>
        <w:t>现场参观由董事会秘书</w:t>
      </w:r>
      <w:r>
        <w:rPr>
          <w:rFonts w:hint="eastAsia" w:ascii="宋体" w:hAnsi="宋体" w:eastAsia="宋体" w:cs="宋体"/>
          <w:b/>
          <w:bCs/>
          <w:sz w:val="21"/>
          <w:szCs w:val="21"/>
          <w:highlight w:val="none"/>
        </w:rPr>
        <w:t>指派两人或两人以上陪同、接待，</w:t>
      </w:r>
      <w:r>
        <w:rPr>
          <w:rFonts w:hint="eastAsia" w:ascii="宋体" w:hAnsi="宋体" w:cs="宋体"/>
          <w:b/>
          <w:bCs/>
          <w:sz w:val="21"/>
          <w:szCs w:val="21"/>
          <w:highlight w:val="none"/>
          <w:lang w:val="en-US" w:eastAsia="zh-CN"/>
        </w:rPr>
        <w:t>并按确定的参观路线</w:t>
      </w:r>
      <w:r>
        <w:rPr>
          <w:rFonts w:hint="eastAsia" w:ascii="宋体" w:hAnsi="宋体" w:eastAsia="宋体" w:cs="宋体"/>
          <w:b/>
          <w:bCs/>
          <w:sz w:val="21"/>
          <w:szCs w:val="21"/>
          <w:highlight w:val="none"/>
        </w:rPr>
        <w:t>合理、妥善地安排参观过程。</w:t>
      </w:r>
      <w:r>
        <w:rPr>
          <w:rFonts w:hint="eastAsia" w:ascii="宋体" w:hAnsi="宋体" w:cs="宋体"/>
          <w:b/>
          <w:bCs/>
          <w:sz w:val="21"/>
          <w:szCs w:val="21"/>
          <w:highlight w:val="none"/>
          <w:lang w:val="en-US" w:eastAsia="zh-CN"/>
        </w:rPr>
        <w:t>公司可视实际情况避免安排来访人员参观涉及公司商业或技术机密的场所。</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第三十三条  </w:t>
      </w:r>
      <w:r>
        <w:rPr>
          <w:rFonts w:hint="eastAsia" w:ascii="宋体" w:hAnsi="宋体" w:cs="宋体"/>
          <w:b/>
          <w:bCs/>
          <w:sz w:val="21"/>
          <w:szCs w:val="21"/>
          <w:highlight w:val="none"/>
          <w:lang w:val="en-US" w:eastAsia="zh-CN"/>
        </w:rPr>
        <w:t>涉及与来访人员沟通和交流中需要回答的问题，由董事会秘书或其指定的</w:t>
      </w:r>
      <w:r>
        <w:rPr>
          <w:rFonts w:hint="eastAsia" w:ascii="宋体" w:hAnsi="宋体" w:eastAsia="宋体" w:cs="宋体"/>
          <w:b/>
          <w:bCs/>
          <w:sz w:val="21"/>
          <w:szCs w:val="21"/>
          <w:highlight w:val="none"/>
        </w:rPr>
        <w:t>专人来回答，</w:t>
      </w:r>
      <w:r>
        <w:rPr>
          <w:rFonts w:hint="eastAsia" w:ascii="宋体" w:hAnsi="宋体" w:cs="宋体"/>
          <w:b/>
          <w:bCs/>
          <w:sz w:val="21"/>
          <w:szCs w:val="21"/>
          <w:highlight w:val="none"/>
          <w:lang w:val="en-US" w:eastAsia="zh-CN"/>
        </w:rPr>
        <w:t>回答内容应</w:t>
      </w:r>
      <w:r>
        <w:rPr>
          <w:rFonts w:hint="eastAsia" w:ascii="宋体" w:hAnsi="宋体" w:eastAsia="宋体" w:cs="宋体"/>
          <w:b/>
          <w:bCs/>
          <w:sz w:val="21"/>
          <w:szCs w:val="21"/>
          <w:highlight w:val="none"/>
        </w:rPr>
        <w:t>遵守《公司章程》《信息披露管理制度》及相关法律法规的规定，并有专人负责记录接待谈话内容。</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cs="宋体"/>
          <w:b/>
          <w:bCs/>
          <w:sz w:val="21"/>
          <w:szCs w:val="21"/>
          <w:highlight w:val="none"/>
          <w:lang w:eastAsia="zh-CN"/>
        </w:rPr>
      </w:pPr>
      <w:r>
        <w:rPr>
          <w:rFonts w:hint="eastAsia" w:ascii="宋体" w:hAnsi="宋体" w:eastAsia="宋体" w:cs="宋体"/>
          <w:b/>
          <w:bCs/>
          <w:sz w:val="21"/>
          <w:szCs w:val="21"/>
          <w:highlight w:val="none"/>
        </w:rPr>
        <w:t xml:space="preserve">第三十四条  </w:t>
      </w:r>
      <w:r>
        <w:rPr>
          <w:rFonts w:hint="eastAsia" w:ascii="宋体" w:hAnsi="宋体" w:cs="宋体"/>
          <w:b/>
          <w:bCs/>
          <w:sz w:val="21"/>
          <w:szCs w:val="21"/>
          <w:highlight w:val="none"/>
          <w:lang w:val="en-US" w:eastAsia="zh-CN"/>
        </w:rPr>
        <w:t>现场参观或调研结束后，董事会办公室负责编制和整理投资者关系活动记录档案，由调研人员和接待人员共同签名确认；并按照深交所的要求在规定的时间内完成投资者关系活动记录表的上传披露</w:t>
      </w:r>
      <w:r>
        <w:rPr>
          <w:rFonts w:hint="eastAsia" w:ascii="宋体" w:hAnsi="宋体" w:cs="宋体"/>
          <w:b/>
          <w:bCs/>
          <w:sz w:val="21"/>
          <w:szCs w:val="21"/>
          <w:highlight w:val="none"/>
          <w:lang w:eastAsia="zh-CN"/>
        </w:rPr>
        <w:t>。</w:t>
      </w:r>
    </w:p>
    <w:p>
      <w:pPr>
        <w:keepNext w:val="0"/>
        <w:keepLines w:val="0"/>
        <w:pageBreakBefore w:val="0"/>
        <w:kinsoku/>
        <w:wordWrap/>
        <w:overflowPunct/>
        <w:topLinePunct w:val="0"/>
        <w:bidi w:val="0"/>
        <w:snapToGrid/>
        <w:spacing w:line="360" w:lineRule="auto"/>
        <w:ind w:firstLine="420" w:firstLineChars="200"/>
        <w:textAlignment w:val="auto"/>
      </w:pPr>
      <w:r>
        <w:t>第三十五条  接待完毕后，投资者、分析师、证券服务机构人员、新闻媒体对外发布公司相关信息时，由</w:t>
      </w:r>
      <w:r>
        <w:rPr>
          <w:rFonts w:hint="eastAsia"/>
          <w:lang w:eastAsia="zh-CN"/>
        </w:rPr>
        <w:t>董事会办公室</w:t>
      </w:r>
      <w:r>
        <w:t>向其索要预发稿件，核对相关内容，董事会秘书复核同意后方可对外发布。</w:t>
      </w:r>
    </w:p>
    <w:p>
      <w:pPr>
        <w:spacing w:before="156" w:beforeLines="50" w:after="156" w:afterLines="50" w:line="360" w:lineRule="auto"/>
        <w:jc w:val="center"/>
        <w:rPr>
          <w:b/>
          <w:sz w:val="24"/>
          <w:szCs w:val="24"/>
        </w:rPr>
      </w:pPr>
      <w:r>
        <w:rPr>
          <w:b/>
          <w:sz w:val="24"/>
          <w:szCs w:val="24"/>
        </w:rPr>
        <w:t>第</w:t>
      </w:r>
      <w:r>
        <w:rPr>
          <w:rFonts w:hint="eastAsia"/>
          <w:b/>
          <w:sz w:val="24"/>
          <w:szCs w:val="24"/>
          <w:lang w:val="en-US" w:eastAsia="zh-CN"/>
        </w:rPr>
        <w:t>六</w:t>
      </w:r>
      <w:r>
        <w:rPr>
          <w:b/>
          <w:sz w:val="24"/>
          <w:szCs w:val="24"/>
        </w:rPr>
        <w:t>章  附则</w:t>
      </w:r>
    </w:p>
    <w:p>
      <w:pPr>
        <w:spacing w:line="360" w:lineRule="auto"/>
        <w:ind w:firstLine="420" w:firstLineChars="200"/>
        <w:rPr>
          <w:rFonts w:hint="eastAsia"/>
        </w:rPr>
      </w:pPr>
      <w:r>
        <w:t xml:space="preserve">第三十六条  </w:t>
      </w:r>
      <w:r>
        <w:rPr>
          <w:rFonts w:hint="eastAsia"/>
          <w:kern w:val="0"/>
        </w:rPr>
        <w:t>本制度所称“以上”含本数</w:t>
      </w:r>
      <w:r>
        <w:rPr>
          <w:rFonts w:hint="eastAsia"/>
        </w:rPr>
        <w:t>。</w:t>
      </w:r>
    </w:p>
    <w:p>
      <w:pPr>
        <w:spacing w:line="360" w:lineRule="auto"/>
        <w:ind w:firstLine="420" w:firstLineChars="200"/>
      </w:pPr>
      <w:r>
        <w:t>第三十七条  本制度</w:t>
      </w:r>
      <w:r>
        <w:rPr>
          <w:rFonts w:hint="eastAsia"/>
        </w:rPr>
        <w:t>自</w:t>
      </w:r>
      <w:r>
        <w:t>公司董事会</w:t>
      </w:r>
      <w:r>
        <w:rPr>
          <w:rFonts w:hint="eastAsia"/>
        </w:rPr>
        <w:t>批准之日起</w:t>
      </w:r>
      <w:r>
        <w:t>实施，修订亦同</w:t>
      </w:r>
      <w:r>
        <w:rPr>
          <w:rFonts w:hint="eastAsia"/>
        </w:rPr>
        <w:t>，</w:t>
      </w:r>
      <w:r>
        <w:t>由公司董事会负责</w:t>
      </w:r>
      <w:r>
        <w:rPr>
          <w:rFonts w:hint="eastAsia"/>
          <w:kern w:val="0"/>
        </w:rPr>
        <w:t>修订和解释</w:t>
      </w:r>
      <w:r>
        <w:t>。</w:t>
      </w:r>
    </w:p>
    <w:p>
      <w:pPr>
        <w:spacing w:line="360" w:lineRule="auto"/>
        <w:ind w:firstLine="420" w:firstLineChars="200"/>
      </w:pPr>
    </w:p>
    <w:p>
      <w:pPr>
        <w:spacing w:line="360" w:lineRule="auto"/>
        <w:ind w:firstLine="420" w:firstLineChars="200"/>
        <w:jc w:val="right"/>
      </w:pPr>
      <w:r>
        <w:t>融捷股份有限公司</w:t>
      </w:r>
    </w:p>
    <w:p>
      <w:pPr>
        <w:spacing w:line="360" w:lineRule="auto"/>
        <w:ind w:firstLine="420" w:firstLineChars="200"/>
        <w:jc w:val="right"/>
      </w:pPr>
      <w:r>
        <w:t>20</w:t>
      </w:r>
      <w:r>
        <w:rPr>
          <w:rFonts w:hint="eastAsia"/>
        </w:rPr>
        <w:t>2</w:t>
      </w:r>
      <w:r>
        <w:rPr>
          <w:rFonts w:hint="eastAsia"/>
          <w:lang w:val="en-US" w:eastAsia="zh-CN"/>
        </w:rPr>
        <w:t>2</w:t>
      </w:r>
      <w:r>
        <w:t>年</w:t>
      </w:r>
      <w:r>
        <w:rPr>
          <w:rFonts w:hint="eastAsia"/>
          <w:lang w:val="en-US" w:eastAsia="zh-CN"/>
        </w:rPr>
        <w:t>10</w:t>
      </w:r>
      <w:r>
        <w:t>月</w:t>
      </w:r>
      <w:r>
        <w:rPr>
          <w:rFonts w:hint="eastAsia"/>
        </w:rPr>
        <w:t>2</w:t>
      </w:r>
      <w:r>
        <w:rPr>
          <w:rFonts w:hint="eastAsia"/>
          <w:lang w:val="en-US" w:eastAsia="zh-CN"/>
        </w:rPr>
        <w:t>1</w:t>
      </w:r>
      <w:r>
        <w:t>日</w:t>
      </w:r>
    </w:p>
    <w:p>
      <w:pPr>
        <w:spacing w:line="360" w:lineRule="auto"/>
        <w:rPr>
          <w:rFonts w:hint="default" w:eastAsia="宋体"/>
          <w:lang w:val="en-US" w:eastAsia="zh-CN"/>
        </w:rPr>
      </w:pPr>
      <w:r>
        <w:rPr>
          <w:sz w:val="24"/>
          <w:szCs w:val="24"/>
        </w:rPr>
        <w:br w:type="page"/>
      </w:r>
      <w:r>
        <w:rPr>
          <w:b/>
          <w:bCs/>
        </w:rPr>
        <w:t>附件</w:t>
      </w:r>
      <w:r>
        <w:rPr>
          <w:rFonts w:hint="eastAsia"/>
          <w:b/>
          <w:bCs/>
          <w:lang w:val="en-US" w:eastAsia="zh-CN"/>
        </w:rPr>
        <w:t>一</w:t>
      </w:r>
      <w:r>
        <w:rPr>
          <w:b/>
          <w:bCs/>
        </w:rPr>
        <w:t>：</w:t>
      </w:r>
      <w:r>
        <w:rPr>
          <w:rFonts w:hint="eastAsia"/>
          <w:b/>
          <w:bCs/>
          <w:lang w:val="en-US" w:eastAsia="zh-CN"/>
        </w:rPr>
        <w:t>承诺书格式</w:t>
      </w:r>
    </w:p>
    <w:p>
      <w:pPr>
        <w:spacing w:line="360" w:lineRule="auto"/>
      </w:pPr>
    </w:p>
    <w:p>
      <w:pPr>
        <w:spacing w:line="360" w:lineRule="auto"/>
        <w:jc w:val="center"/>
        <w:rPr>
          <w:rFonts w:eastAsia="黑体"/>
          <w:sz w:val="36"/>
          <w:szCs w:val="36"/>
        </w:rPr>
      </w:pPr>
      <w:r>
        <w:rPr>
          <w:rFonts w:eastAsia="黑体"/>
          <w:sz w:val="36"/>
          <w:szCs w:val="36"/>
        </w:rPr>
        <w:t>承 诺 书</w:t>
      </w:r>
    </w:p>
    <w:p>
      <w:pPr>
        <w:autoSpaceDE w:val="0"/>
        <w:autoSpaceDN w:val="0"/>
        <w:adjustRightInd w:val="0"/>
        <w:spacing w:line="360" w:lineRule="auto"/>
        <w:ind w:firstLine="420" w:firstLineChars="200"/>
      </w:pPr>
      <w:r>
        <w:t>融捷股份有限公司：</w:t>
      </w:r>
    </w:p>
    <w:p>
      <w:pPr>
        <w:autoSpaceDE w:val="0"/>
        <w:autoSpaceDN w:val="0"/>
        <w:adjustRightInd w:val="0"/>
        <w:spacing w:line="360" w:lineRule="auto"/>
        <w:ind w:firstLine="420" w:firstLineChars="200"/>
      </w:pPr>
      <w:r>
        <w:t xml:space="preserve">本人（公司）将对你公司进行调研（或参观、采访、座谈等），根据有关规定做出如下承诺： </w:t>
      </w:r>
    </w:p>
    <w:p>
      <w:pPr>
        <w:autoSpaceDE w:val="0"/>
        <w:autoSpaceDN w:val="0"/>
        <w:adjustRightInd w:val="0"/>
        <w:spacing w:line="360" w:lineRule="auto"/>
        <w:ind w:firstLine="420" w:firstLineChars="200"/>
      </w:pPr>
      <w:r>
        <w:t>（一）本人（公司）承诺在调研（或参观、采访、座谈等）过程中不故意打探你公司未公开重大信息，未经你公司许可，不与你公司指定人员以外的人员进行沟通或问询；</w:t>
      </w:r>
    </w:p>
    <w:p>
      <w:pPr>
        <w:autoSpaceDE w:val="0"/>
        <w:autoSpaceDN w:val="0"/>
        <w:adjustRightInd w:val="0"/>
        <w:spacing w:line="360" w:lineRule="auto"/>
        <w:ind w:firstLine="420" w:firstLineChars="200"/>
      </w:pPr>
      <w:r>
        <w:t xml:space="preserve">（二）本人（公司）承诺不泄漏在调研（或参观、采访、座谈等）过程中获取的你公司未公开重大信息，不利用所获取的未公开重大信息买卖你公司证券或建议他人买卖你公司证券；  </w:t>
      </w:r>
    </w:p>
    <w:p>
      <w:pPr>
        <w:autoSpaceDE w:val="0"/>
        <w:autoSpaceDN w:val="0"/>
        <w:adjustRightInd w:val="0"/>
        <w:spacing w:line="360" w:lineRule="auto"/>
        <w:ind w:firstLine="420" w:firstLineChars="200"/>
      </w:pPr>
      <w:r>
        <w:t xml:space="preserve">（三）本人（公司）承诺在投资价值分析报告、新闻稿等文件中不使用本次调研（或参观、采访、座谈等）获取的你公司未公开重大信息； </w:t>
      </w:r>
    </w:p>
    <w:p>
      <w:pPr>
        <w:autoSpaceDE w:val="0"/>
        <w:autoSpaceDN w:val="0"/>
        <w:adjustRightInd w:val="0"/>
        <w:spacing w:line="360" w:lineRule="auto"/>
        <w:ind w:firstLine="420" w:firstLineChars="200"/>
      </w:pPr>
      <w:r>
        <w:t>（四）本人（公司）承诺基于本次调研（或参观、采访、座谈等）形成的投资价值分析报告、新闻稿等文件中涉及盈利预测和股价预测的，注明资料来源，不使用缺乏事实根据的资料；</w:t>
      </w:r>
    </w:p>
    <w:p>
      <w:pPr>
        <w:autoSpaceDE w:val="0"/>
        <w:autoSpaceDN w:val="0"/>
        <w:adjustRightInd w:val="0"/>
        <w:spacing w:line="360" w:lineRule="auto"/>
        <w:ind w:firstLine="420" w:firstLineChars="200"/>
      </w:pPr>
      <w:r>
        <w:t>（五）本人（公司）承诺基于本次调研（或参观、采访、座谈等）形成的投资价值分析报告、新闻稿等文件（或涉及基础性信息的部分内容），在对外发布或使用至少两个工作日前知会你公司，并保证相关内容客观真实；</w:t>
      </w:r>
    </w:p>
    <w:p>
      <w:pPr>
        <w:autoSpaceDE w:val="0"/>
        <w:autoSpaceDN w:val="0"/>
        <w:adjustRightInd w:val="0"/>
        <w:spacing w:line="360" w:lineRule="auto"/>
        <w:ind w:firstLine="420" w:firstLineChars="200"/>
      </w:pPr>
      <w:r>
        <w:t>（六）本人（公司）如违反上述承诺，愿意承担由此引起的一切法律责任；（公司也可明确规定责任的内容）</w:t>
      </w:r>
    </w:p>
    <w:p>
      <w:pPr>
        <w:autoSpaceDE w:val="0"/>
        <w:autoSpaceDN w:val="0"/>
        <w:adjustRightInd w:val="0"/>
        <w:spacing w:line="360" w:lineRule="auto"/>
        <w:ind w:firstLine="420" w:firstLineChars="200"/>
      </w:pPr>
      <w:r>
        <w:t>（七）本承诺书仅限于本人（公司）对你公司调研（或参观、采访、座谈等）活动，时间为：_______________________；</w:t>
      </w:r>
    </w:p>
    <w:p>
      <w:pPr>
        <w:autoSpaceDE w:val="0"/>
        <w:autoSpaceDN w:val="0"/>
        <w:adjustRightInd w:val="0"/>
        <w:spacing w:line="360" w:lineRule="auto"/>
        <w:ind w:firstLine="420" w:firstLineChars="200"/>
      </w:pPr>
      <w:r>
        <w:t>（八）本承诺书的有效期为  年  月  日至  年  月  日。经本公司（或研究机构）书面授权的个人在本承诺书有效期内到你公司现场调研（或参观、采访、座谈等），视同本公司行为。（此条仅适用于以公司或研究机构名义签署的承诺书）</w:t>
      </w:r>
    </w:p>
    <w:p>
      <w:pPr>
        <w:autoSpaceDE w:val="0"/>
        <w:autoSpaceDN w:val="0"/>
        <w:adjustRightInd w:val="0"/>
        <w:spacing w:before="157" w:beforeLines="50" w:line="360" w:lineRule="auto"/>
        <w:ind w:firstLine="420" w:firstLineChars="200"/>
      </w:pPr>
      <w:r>
        <w:t xml:space="preserve">                   承诺人（公司）：         （签章）</w:t>
      </w:r>
    </w:p>
    <w:p>
      <w:pPr>
        <w:autoSpaceDE w:val="0"/>
        <w:autoSpaceDN w:val="0"/>
        <w:adjustRightInd w:val="0"/>
        <w:spacing w:line="360" w:lineRule="auto"/>
        <w:ind w:firstLine="420" w:firstLineChars="200"/>
      </w:pPr>
      <w:r>
        <w:t xml:space="preserve">                     （授权代表）：         （签章）</w:t>
      </w:r>
      <w:bookmarkStart w:id="8" w:name="_GoBack"/>
      <w:bookmarkEnd w:id="8"/>
    </w:p>
    <w:p>
      <w:pPr>
        <w:autoSpaceDE w:val="0"/>
        <w:autoSpaceDN w:val="0"/>
        <w:adjustRightInd w:val="0"/>
        <w:spacing w:line="360" w:lineRule="auto"/>
        <w:ind w:firstLine="420" w:firstLineChars="200"/>
      </w:pPr>
      <w:r>
        <w:t xml:space="preserve">                           日期：</w:t>
      </w:r>
    </w:p>
    <w:p>
      <w:pPr>
        <w:rPr>
          <w:b/>
        </w:rPr>
      </w:pPr>
      <w:r>
        <w:rPr>
          <w:b/>
        </w:rPr>
        <w:t>附件二：投资者关系活动记录表格式</w:t>
      </w:r>
    </w:p>
    <w:p>
      <w:pPr>
        <w:spacing w:before="156" w:beforeLines="50" w:after="156" w:afterLines="50" w:line="400" w:lineRule="exact"/>
        <w:ind w:firstLine="630" w:firstLineChars="300"/>
        <w:rPr>
          <w:bCs/>
          <w:iCs/>
        </w:rPr>
      </w:pPr>
      <w:r>
        <w:rPr>
          <w:bCs/>
          <w:iCs/>
        </w:rPr>
        <w:t>证券代码：002192                            证券简称：融捷股份</w:t>
      </w:r>
    </w:p>
    <w:p>
      <w:pPr>
        <w:spacing w:before="156" w:beforeLines="50" w:after="156" w:afterLines="50" w:line="400" w:lineRule="exact"/>
        <w:jc w:val="center"/>
        <w:rPr>
          <w:b/>
          <w:bCs/>
          <w:iCs/>
        </w:rPr>
      </w:pPr>
      <w:r>
        <w:rPr>
          <w:b/>
          <w:bCs/>
          <w:iCs/>
        </w:rPr>
        <w:t>融捷股份有限公司投资者关系活动记录表</w:t>
      </w:r>
    </w:p>
    <w:p>
      <w:pPr>
        <w:spacing w:line="400" w:lineRule="exact"/>
        <w:rPr>
          <w:bCs/>
          <w:iCs/>
        </w:rPr>
      </w:pPr>
      <w:r>
        <w:rPr>
          <w:bCs/>
          <w:iCs/>
        </w:rPr>
        <w:t xml:space="preserve">                                                      编号：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480" w:lineRule="atLeast"/>
              <w:rPr>
                <w:b/>
                <w:bCs/>
                <w:iCs/>
              </w:rPr>
            </w:pPr>
            <w:r>
              <w:rPr>
                <w:b/>
                <w:bCs/>
                <w:iCs/>
              </w:rPr>
              <w:t>投资者关系活动类别</w:t>
            </w:r>
          </w:p>
          <w:p>
            <w:pPr>
              <w:spacing w:line="480" w:lineRule="atLeast"/>
              <w:rPr>
                <w:b/>
                <w:bCs/>
                <w:iCs/>
              </w:rPr>
            </w:pPr>
          </w:p>
        </w:tc>
        <w:tc>
          <w:tcPr>
            <w:tcW w:w="6614" w:type="dxa"/>
            <w:noWrap w:val="0"/>
            <w:vAlign w:val="top"/>
          </w:tcPr>
          <w:p>
            <w:pPr>
              <w:spacing w:line="480" w:lineRule="atLeast"/>
              <w:rPr>
                <w:bCs/>
                <w:iCs/>
              </w:rPr>
            </w:pPr>
            <w:r>
              <w:rPr>
                <w:bCs/>
                <w:iCs/>
              </w:rPr>
              <w:t>□</w:t>
            </w:r>
            <w:r>
              <w:t xml:space="preserve">特定对象调研        </w:t>
            </w:r>
            <w:r>
              <w:rPr>
                <w:bCs/>
                <w:iCs/>
              </w:rPr>
              <w:t>□</w:t>
            </w:r>
            <w:r>
              <w:t>分析师会议</w:t>
            </w:r>
          </w:p>
          <w:p>
            <w:pPr>
              <w:spacing w:line="480" w:lineRule="atLeast"/>
              <w:rPr>
                <w:bCs/>
                <w:iCs/>
              </w:rPr>
            </w:pPr>
            <w:r>
              <w:rPr>
                <w:bCs/>
                <w:iCs/>
              </w:rPr>
              <w:t>□</w:t>
            </w:r>
            <w:r>
              <w:t xml:space="preserve">媒体采访            </w:t>
            </w:r>
            <w:r>
              <w:rPr>
                <w:bCs/>
                <w:iCs/>
              </w:rPr>
              <w:t>□</w:t>
            </w:r>
            <w:r>
              <w:t>业绩说明会</w:t>
            </w:r>
          </w:p>
          <w:p>
            <w:pPr>
              <w:spacing w:line="480" w:lineRule="atLeast"/>
              <w:rPr>
                <w:bCs/>
                <w:iCs/>
              </w:rPr>
            </w:pPr>
            <w:r>
              <w:rPr>
                <w:bCs/>
                <w:iCs/>
              </w:rPr>
              <w:t>□</w:t>
            </w:r>
            <w:r>
              <w:t xml:space="preserve">新闻发布会          </w:t>
            </w:r>
            <w:r>
              <w:rPr>
                <w:bCs/>
                <w:iCs/>
              </w:rPr>
              <w:t>□</w:t>
            </w:r>
            <w:r>
              <w:t>路演活动</w:t>
            </w:r>
          </w:p>
          <w:p>
            <w:pPr>
              <w:tabs>
                <w:tab w:val="left" w:pos="3045"/>
                <w:tab w:val="center" w:pos="3199"/>
              </w:tabs>
              <w:spacing w:line="480" w:lineRule="atLeast"/>
              <w:rPr>
                <w:bCs/>
                <w:iCs/>
              </w:rPr>
            </w:pPr>
            <w:r>
              <w:rPr>
                <w:bCs/>
                <w:iCs/>
              </w:rPr>
              <w:t>□</w:t>
            </w:r>
            <w:r>
              <w:t>现场参观</w:t>
            </w:r>
            <w:r>
              <w:rPr>
                <w:bCs/>
                <w:iCs/>
              </w:rPr>
              <w:tab/>
            </w:r>
          </w:p>
          <w:p>
            <w:pPr>
              <w:tabs>
                <w:tab w:val="center" w:pos="3199"/>
              </w:tabs>
              <w:spacing w:line="480" w:lineRule="atLeast"/>
              <w:rPr>
                <w:bCs/>
                <w:iCs/>
              </w:rPr>
            </w:pPr>
            <w:r>
              <w:rPr>
                <w:bCs/>
                <w:iCs/>
              </w:rPr>
              <w:t>□</w:t>
            </w:r>
            <w:r>
              <w:t>其他 （</w:t>
            </w:r>
            <w:r>
              <w:rPr>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480" w:lineRule="atLeast"/>
              <w:rPr>
                <w:b/>
                <w:bCs/>
                <w:iCs/>
              </w:rPr>
            </w:pPr>
            <w:r>
              <w:rPr>
                <w:b/>
                <w:bCs/>
                <w:iCs/>
              </w:rPr>
              <w:t>参与单位名称及人员姓名</w:t>
            </w:r>
          </w:p>
        </w:tc>
        <w:tc>
          <w:tcPr>
            <w:tcW w:w="6614" w:type="dxa"/>
            <w:noWrap w:val="0"/>
            <w:vAlign w:val="top"/>
          </w:tcPr>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480" w:lineRule="atLeast"/>
              <w:rPr>
                <w:b/>
                <w:bCs/>
                <w:iCs/>
              </w:rPr>
            </w:pPr>
            <w:r>
              <w:rPr>
                <w:b/>
                <w:bCs/>
                <w:iCs/>
              </w:rPr>
              <w:t>时间</w:t>
            </w:r>
          </w:p>
        </w:tc>
        <w:tc>
          <w:tcPr>
            <w:tcW w:w="6614" w:type="dxa"/>
            <w:noWrap w:val="0"/>
            <w:vAlign w:val="top"/>
          </w:tcPr>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top"/>
          </w:tcPr>
          <w:p>
            <w:pPr>
              <w:spacing w:line="480" w:lineRule="atLeast"/>
              <w:rPr>
                <w:b/>
                <w:bCs/>
                <w:iCs/>
              </w:rPr>
            </w:pPr>
            <w:r>
              <w:rPr>
                <w:b/>
                <w:bCs/>
                <w:iCs/>
              </w:rPr>
              <w:t>地点</w:t>
            </w:r>
          </w:p>
        </w:tc>
        <w:tc>
          <w:tcPr>
            <w:tcW w:w="6614" w:type="dxa"/>
            <w:noWrap w:val="0"/>
            <w:vAlign w:val="top"/>
          </w:tcPr>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480" w:lineRule="atLeast"/>
              <w:rPr>
                <w:b/>
                <w:bCs/>
                <w:iCs/>
              </w:rPr>
            </w:pPr>
            <w:r>
              <w:rPr>
                <w:b/>
                <w:bCs/>
                <w:iCs/>
              </w:rPr>
              <w:t>公司接待人员姓名</w:t>
            </w:r>
          </w:p>
        </w:tc>
        <w:tc>
          <w:tcPr>
            <w:tcW w:w="6614" w:type="dxa"/>
            <w:noWrap w:val="0"/>
            <w:vAlign w:val="top"/>
          </w:tcPr>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908" w:type="dxa"/>
            <w:noWrap w:val="0"/>
            <w:vAlign w:val="center"/>
          </w:tcPr>
          <w:p>
            <w:pPr>
              <w:spacing w:line="480" w:lineRule="atLeast"/>
              <w:rPr>
                <w:b/>
                <w:bCs/>
                <w:iCs/>
              </w:rPr>
            </w:pPr>
            <w:r>
              <w:rPr>
                <w:b/>
                <w:bCs/>
                <w:iCs/>
              </w:rPr>
              <w:t>投资者关系活动主要内容介绍</w:t>
            </w:r>
          </w:p>
          <w:p>
            <w:pPr>
              <w:spacing w:line="480" w:lineRule="atLeast"/>
              <w:rPr>
                <w:b/>
                <w:bCs/>
                <w:iCs/>
              </w:rPr>
            </w:pPr>
          </w:p>
        </w:tc>
        <w:tc>
          <w:tcPr>
            <w:tcW w:w="6614" w:type="dxa"/>
            <w:noWrap w:val="0"/>
            <w:vAlign w:val="top"/>
          </w:tcPr>
          <w:p>
            <w:pPr>
              <w:spacing w:line="480" w:lineRule="atLeast"/>
              <w:rPr>
                <w:bCs/>
                <w:iCs/>
              </w:rPr>
            </w:pPr>
          </w:p>
          <w:p>
            <w:pPr>
              <w:spacing w:line="480" w:lineRule="atLeast"/>
              <w:rPr>
                <w:bCs/>
                <w:iCs/>
              </w:rPr>
            </w:pPr>
          </w:p>
          <w:p>
            <w:pPr>
              <w:spacing w:line="480" w:lineRule="atLeast"/>
              <w:rPr>
                <w:bCs/>
                <w:iCs/>
              </w:rPr>
            </w:pPr>
          </w:p>
          <w:p>
            <w:pPr>
              <w:spacing w:line="480" w:lineRule="atLeast"/>
              <w:rPr>
                <w:bCs/>
                <w:iCs/>
              </w:rPr>
            </w:pPr>
          </w:p>
          <w:p>
            <w:pPr>
              <w:spacing w:line="480" w:lineRule="atLeast"/>
              <w:rPr>
                <w:bCs/>
                <w:iCs/>
              </w:rPr>
            </w:pPr>
          </w:p>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480" w:lineRule="atLeast"/>
              <w:rPr>
                <w:b/>
                <w:bCs/>
                <w:iCs/>
              </w:rPr>
            </w:pPr>
            <w:r>
              <w:rPr>
                <w:b/>
                <w:bCs/>
                <w:iCs/>
              </w:rPr>
              <w:t>附件清单（如有）</w:t>
            </w:r>
          </w:p>
        </w:tc>
        <w:tc>
          <w:tcPr>
            <w:tcW w:w="6614" w:type="dxa"/>
            <w:noWrap w:val="0"/>
            <w:vAlign w:val="top"/>
          </w:tcPr>
          <w:p>
            <w:pPr>
              <w:spacing w:line="480" w:lineRule="atLeast"/>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480" w:lineRule="atLeast"/>
              <w:rPr>
                <w:b/>
                <w:bCs/>
                <w:iCs/>
              </w:rPr>
            </w:pPr>
            <w:r>
              <w:rPr>
                <w:b/>
                <w:bCs/>
                <w:iCs/>
              </w:rPr>
              <w:t>日期</w:t>
            </w:r>
          </w:p>
        </w:tc>
        <w:tc>
          <w:tcPr>
            <w:tcW w:w="6614" w:type="dxa"/>
            <w:noWrap w:val="0"/>
            <w:vAlign w:val="top"/>
          </w:tcPr>
          <w:p>
            <w:pPr>
              <w:spacing w:line="480" w:lineRule="atLeast"/>
              <w:rPr>
                <w:bCs/>
                <w:iCs/>
              </w:rPr>
            </w:pPr>
          </w:p>
        </w:tc>
      </w:tr>
    </w:tbl>
    <w:p>
      <w:pPr>
        <w:adjustRightInd w:val="0"/>
        <w:snapToGrid w:val="0"/>
        <w:spacing w:line="360" w:lineRule="auto"/>
        <w:rPr>
          <w:rFonts w:hint="eastAsia" w:ascii="黑体" w:hAnsi="黑体" w:eastAsia="黑体" w:cs="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851F5"/>
    <w:multiLevelType w:val="singleLevel"/>
    <w:tmpl w:val="127851F5"/>
    <w:lvl w:ilvl="0" w:tentative="0">
      <w:start w:val="1"/>
      <w:numFmt w:val="chineseCounting"/>
      <w:suff w:val="space"/>
      <w:lvlText w:val="第%1条"/>
      <w:lvlJc w:val="left"/>
      <w:rPr>
        <w:rFonts w:hint="eastAsia"/>
      </w:rPr>
    </w:lvl>
  </w:abstractNum>
  <w:abstractNum w:abstractNumId="1">
    <w:nsid w:val="634A441E"/>
    <w:multiLevelType w:val="singleLevel"/>
    <w:tmpl w:val="634A441E"/>
    <w:lvl w:ilvl="0" w:tentative="0">
      <w:start w:val="11"/>
      <w:numFmt w:val="chineseCounting"/>
      <w:suff w:val="space"/>
      <w:lvlText w:val="第%1条"/>
      <w:lvlJc w:val="left"/>
      <w:rPr>
        <w:rFonts w:hint="eastAsia"/>
      </w:rPr>
    </w:lvl>
  </w:abstractNum>
  <w:abstractNum w:abstractNumId="2">
    <w:nsid w:val="75A9730D"/>
    <w:multiLevelType w:val="singleLevel"/>
    <w:tmpl w:val="75A9730D"/>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jAyYjQ2YzgyMTE0YzdlZDQ3MzlmMDAwOTAzNjAifQ=="/>
  </w:docVars>
  <w:rsids>
    <w:rsidRoot w:val="00000000"/>
    <w:rsid w:val="004E47EA"/>
    <w:rsid w:val="0BF336DC"/>
    <w:rsid w:val="11AC7406"/>
    <w:rsid w:val="18DE232D"/>
    <w:rsid w:val="1A153FF3"/>
    <w:rsid w:val="1EC25D8B"/>
    <w:rsid w:val="206830B9"/>
    <w:rsid w:val="31852F51"/>
    <w:rsid w:val="31D63794"/>
    <w:rsid w:val="433E697D"/>
    <w:rsid w:val="4FEC4DC8"/>
    <w:rsid w:val="54C934DA"/>
    <w:rsid w:val="5DD3741A"/>
    <w:rsid w:val="5E892EDC"/>
    <w:rsid w:val="68FA6C6D"/>
    <w:rsid w:val="79967D5A"/>
    <w:rsid w:val="7DDF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目录标题"/>
    <w:basedOn w:val="2"/>
    <w:next w:val="1"/>
    <w:qFormat/>
    <w:uiPriority w:val="0"/>
    <w:pPr>
      <w:spacing w:line="360" w:lineRule="auto"/>
      <w:jc w:val="center"/>
    </w:pPr>
    <w:rPr>
      <w:rFonts w:eastAsia="黑体"/>
      <w:b w:val="0"/>
      <w:bCs w:val="0"/>
      <w:kern w:val="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5536</Words>
  <Characters>5591</Characters>
  <Lines>0</Lines>
  <Paragraphs>0</Paragraphs>
  <TotalTime>2</TotalTime>
  <ScaleCrop>false</ScaleCrop>
  <LinksUpToDate>false</LinksUpToDate>
  <CharactersWithSpaces>5901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2022-09-07T02:09:00Z</dcterms:created>
  <dc:creator>Administrator</dc:creator>
  <cp:lastModifiedBy>Ren</cp:lastModifiedBy>
  <dcterms:modified xsi:type="dcterms:W3CDTF">2022-10-19T07:43:34Z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E6AC2C5FFBEA4C49A60AD977B8ACB0C9</vt:lpwstr>
  </property>
</Properties>
</file>